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題 2 A"/>
        <w:rPr>
          <w:rFonts w:ascii="PMingLiU" w:cs="PMingLiU" w:hAnsi="PMingLiU" w:eastAsia="PMingLiU"/>
          <w:b w:val="1"/>
          <w:bCs w:val="1"/>
          <w:sz w:val="24"/>
          <w:szCs w:val="24"/>
        </w:rPr>
      </w:pPr>
      <w:r>
        <w:rPr>
          <w:rFonts w:ascii="PMingLiU" w:cs="PMingLiU" w:hAnsi="PMingLiU" w:eastAsia="PMingLiU"/>
          <w:b w:val="1"/>
          <w:bCs w:val="1"/>
          <w:sz w:val="24"/>
          <w:szCs w:val="24"/>
          <w:rtl w:val="0"/>
          <w:lang w:val="zh-TW" w:eastAsia="zh-TW"/>
        </w:rPr>
        <w:t>附件二、七大政見之網頁文字表（因頁數過多，將由</w:t>
      </w:r>
      <w:r>
        <w:rPr>
          <w:rFonts w:ascii="PMingLiU" w:cs="PMingLiU" w:hAnsi="PMingLiU" w:eastAsia="PMingLiU"/>
          <w:b w:val="1"/>
          <w:bCs w:val="1"/>
          <w:sz w:val="24"/>
          <w:szCs w:val="24"/>
          <w:rtl w:val="0"/>
          <w:lang w:val="en-US"/>
        </w:rPr>
        <w:t>Email</w:t>
      </w:r>
      <w:r>
        <w:rPr>
          <w:rFonts w:ascii="PMingLiU" w:cs="PMingLiU" w:hAnsi="PMingLiU" w:eastAsia="PMingLiU"/>
          <w:b w:val="1"/>
          <w:bCs w:val="1"/>
          <w:sz w:val="24"/>
          <w:szCs w:val="24"/>
          <w:rtl w:val="0"/>
          <w:lang w:val="zh-TW" w:eastAsia="zh-TW"/>
        </w:rPr>
        <w:t>寄送）</w:t>
      </w:r>
    </w:p>
    <w:p>
      <w:pPr>
        <w:pStyle w:val="內文 A"/>
        <w:jc w:val="both"/>
        <w:rPr>
          <w:rStyle w:val="Hyperlink.0"/>
          <w:rFonts w:ascii="PMingLiU" w:cs="PMingLiU" w:hAnsi="PMingLiU" w:eastAsia="PMingLiU"/>
          <w:b w:val="1"/>
          <w:bCs w:val="1"/>
          <w:sz w:val="24"/>
          <w:szCs w:val="24"/>
          <w:u w:val="single"/>
        </w:rPr>
      </w:pPr>
    </w:p>
    <w:p>
      <w:pPr>
        <w:pStyle w:val="內文 A"/>
        <w:jc w:val="both"/>
        <w:rPr>
          <w:rStyle w:val="無"/>
          <w:b w:val="1"/>
          <w:bCs w:val="1"/>
          <w:sz w:val="28"/>
          <w:szCs w:val="28"/>
          <w:u w:val="single"/>
        </w:rPr>
      </w:pPr>
      <w:r>
        <w:rPr>
          <w:rFonts w:eastAsia="Arial Unicode MS" w:hint="eastAsia"/>
          <w:sz w:val="28"/>
          <w:szCs w:val="28"/>
          <w:rtl w:val="0"/>
          <w:lang w:val="zh-TW" w:eastAsia="zh-TW"/>
        </w:rPr>
        <w:t>「總統氣候政見放大鏡」</w:t>
      </w:r>
      <w:r>
        <w:rPr>
          <w:b w:val="1"/>
          <w:bCs w:val="1"/>
          <w:sz w:val="28"/>
          <w:szCs w:val="28"/>
          <w:rtl w:val="0"/>
          <w:lang w:val="zh-TW" w:eastAsia="zh-TW"/>
        </w:rPr>
        <w:t xml:space="preserve"> </w:t>
      </w:r>
      <w:r>
        <w:rPr>
          <w:rFonts w:eastAsia="Arial Unicode MS" w:hint="eastAsia"/>
          <w:sz w:val="28"/>
          <w:szCs w:val="28"/>
          <w:rtl w:val="0"/>
          <w:lang w:val="zh-TW" w:eastAsia="zh-TW"/>
        </w:rPr>
        <w:t>網址</w:t>
      </w:r>
      <w:r>
        <w:rPr>
          <w:rFonts w:eastAsia="Arial Unicode MS" w:hint="eastAsia"/>
          <w:sz w:val="28"/>
          <w:szCs w:val="28"/>
          <w:u w:val="single"/>
          <w:rtl w:val="0"/>
          <w:lang w:val="zh-TW" w:eastAsia="zh-TW"/>
        </w:rPr>
        <w:t>：</w:t>
      </w:r>
      <w:r>
        <w:rPr>
          <w:rStyle w:val="Hyperlink.1"/>
          <w:b w:val="1"/>
          <w:bCs w:val="1"/>
          <w:sz w:val="28"/>
          <w:szCs w:val="28"/>
          <w:u w:val="single"/>
          <w:lang w:val="de-DE"/>
        </w:rPr>
        <w:fldChar w:fldCharType="begin" w:fldLock="0"/>
      </w:r>
      <w:r>
        <w:rPr>
          <w:rStyle w:val="Hyperlink.1"/>
          <w:b w:val="1"/>
          <w:bCs w:val="1"/>
          <w:sz w:val="28"/>
          <w:szCs w:val="28"/>
          <w:u w:val="single"/>
          <w:lang w:val="de-DE"/>
        </w:rPr>
        <w:instrText xml:space="preserve"> HYPERLINK "https://tcan2050.org.tw"</w:instrText>
      </w:r>
      <w:r>
        <w:rPr>
          <w:rStyle w:val="Hyperlink.1"/>
          <w:b w:val="1"/>
          <w:bCs w:val="1"/>
          <w:sz w:val="28"/>
          <w:szCs w:val="28"/>
          <w:u w:val="single"/>
          <w:lang w:val="de-DE"/>
        </w:rPr>
        <w:fldChar w:fldCharType="separate" w:fldLock="0"/>
      </w:r>
      <w:r>
        <w:rPr>
          <w:rStyle w:val="Hyperlink.1"/>
          <w:b w:val="1"/>
          <w:bCs w:val="1"/>
          <w:sz w:val="28"/>
          <w:szCs w:val="28"/>
          <w:u w:val="single"/>
          <w:rtl w:val="0"/>
          <w:lang w:val="de-DE"/>
        </w:rPr>
        <w:t>https://tcan2050.org.tw</w:t>
      </w:r>
      <w:r>
        <w:rPr/>
        <w:fldChar w:fldCharType="end" w:fldLock="0"/>
      </w:r>
    </w:p>
    <w:p>
      <w:pPr>
        <w:pStyle w:val="內文 A"/>
        <w:jc w:val="both"/>
        <w:rPr>
          <w:rStyle w:val="無"/>
          <w:b w:val="1"/>
          <w:bCs w:val="1"/>
          <w:sz w:val="28"/>
          <w:szCs w:val="28"/>
          <w:u w:val="single"/>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504"/>
        <w:gridCol w:w="2660"/>
        <w:gridCol w:w="1954"/>
        <w:gridCol w:w="3514"/>
      </w:tblGrid>
      <w:tr>
        <w:tblPrEx>
          <w:shd w:val="clear" w:color="auto" w:fill="cadfff"/>
        </w:tblPrEx>
        <w:trPr>
          <w:trHeight w:val="370" w:hRule="atLeast"/>
        </w:trPr>
        <w:tc>
          <w:tcPr>
            <w:tcW w:type="dxa" w:w="1504"/>
            <w:tcBorders>
              <w:top w:val="single" w:color="000000"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七大政見</w:t>
            </w:r>
          </w:p>
        </w:tc>
        <w:tc>
          <w:tcPr>
            <w:tcW w:type="dxa" w:w="2660"/>
            <w:tcBorders>
              <w:top w:val="single" w:color="000000"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賴</w:t>
            </w:r>
          </w:p>
        </w:tc>
        <w:tc>
          <w:tcPr>
            <w:tcW w:type="dxa" w:w="1953"/>
            <w:tcBorders>
              <w:top w:val="single" w:color="000000"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侯</w:t>
            </w:r>
          </w:p>
        </w:tc>
        <w:tc>
          <w:tcPr>
            <w:tcW w:type="dxa" w:w="3513"/>
            <w:tcBorders>
              <w:top w:val="single" w:color="000000"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柯</w:t>
            </w:r>
          </w:p>
        </w:tc>
      </w:tr>
      <w:tr>
        <w:tblPrEx>
          <w:shd w:val="clear" w:color="auto" w:fill="cadfff"/>
        </w:tblPrEx>
        <w:trPr>
          <w:trHeight w:val="192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ascii="Arial Unicode MS" w:hAnsi="Arial Unicode MS"/>
                <w:sz w:val="24"/>
                <w:szCs w:val="24"/>
                <w:shd w:val="nil" w:color="auto" w:fill="auto"/>
                <w:rtl w:val="0"/>
                <w:lang w:val="zh-TW" w:eastAsia="zh-TW"/>
              </w:rPr>
              <w:t>2030</w:t>
            </w:r>
            <w:r>
              <w:rPr>
                <w:rStyle w:val="無"/>
                <w:rFonts w:eastAsia="Arial Unicode MS" w:hint="eastAsia"/>
                <w:sz w:val="24"/>
                <w:szCs w:val="24"/>
                <w:shd w:val="nil" w:color="auto" w:fill="auto"/>
                <w:rtl w:val="0"/>
                <w:lang w:val="zh-TW" w:eastAsia="zh-TW"/>
              </w:rPr>
              <w:t>減碳目標</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為了因應氣候危機，全球需達成</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淨零排放的目標，但僅有長期的減量目標仍不足夠，需要搭配短、中、長期的減量目標與具體路徑圖，才能將淨零一步步落實。聯合國氣候變遷專家委員會指出，若要將全球暖化控制在升溫</w:t>
            </w:r>
            <w:r>
              <w:rPr>
                <w:rStyle w:val="無"/>
                <w:rFonts w:ascii="Arial Unicode MS" w:hAnsi="Arial Unicode MS"/>
                <w:sz w:val="20"/>
                <w:szCs w:val="20"/>
                <w:shd w:val="nil" w:color="auto" w:fill="auto"/>
                <w:rtl w:val="0"/>
                <w:lang w:val="zh-TW" w:eastAsia="zh-TW"/>
              </w:rPr>
              <w:t>1.5</w:t>
            </w:r>
            <w:r>
              <w:rPr>
                <w:rStyle w:val="無"/>
                <w:rFonts w:ascii="Arial Unicode MS" w:hAnsi="Arial Unicode MS" w:hint="default"/>
                <w:sz w:val="20"/>
                <w:szCs w:val="20"/>
                <w:shd w:val="nil" w:color="auto" w:fill="auto"/>
                <w:rtl w:val="0"/>
                <w:lang w:val="zh-TW" w:eastAsia="zh-TW"/>
              </w:rPr>
              <w:t>°</w:t>
            </w:r>
            <w:r>
              <w:rPr>
                <w:rStyle w:val="無"/>
                <w:rFonts w:ascii="Arial Unicode MS" w:hAnsi="Arial Unicode MS"/>
                <w:sz w:val="20"/>
                <w:szCs w:val="20"/>
                <w:shd w:val="nil" w:color="auto" w:fill="auto"/>
                <w:rtl w:val="0"/>
                <w:lang w:val="zh-TW" w:eastAsia="zh-TW"/>
              </w:rPr>
              <w:t>C</w:t>
            </w:r>
            <w:r>
              <w:rPr>
                <w:rStyle w:val="無"/>
                <w:rFonts w:eastAsia="Arial Unicode MS" w:hint="eastAsia"/>
                <w:sz w:val="20"/>
                <w:szCs w:val="20"/>
                <w:shd w:val="nil" w:color="auto" w:fill="auto"/>
                <w:rtl w:val="0"/>
                <w:lang w:val="zh-TW" w:eastAsia="zh-TW"/>
              </w:rPr>
              <w:t>以內，</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年全球必須相較於</w:t>
            </w:r>
            <w:r>
              <w:rPr>
                <w:rStyle w:val="無"/>
                <w:rFonts w:ascii="Arial Unicode MS" w:hAnsi="Arial Unicode MS"/>
                <w:sz w:val="20"/>
                <w:szCs w:val="20"/>
                <w:shd w:val="nil" w:color="auto" w:fill="auto"/>
                <w:rtl w:val="0"/>
                <w:lang w:val="zh-TW" w:eastAsia="zh-TW"/>
              </w:rPr>
              <w:t>2019</w:t>
            </w:r>
            <w:r>
              <w:rPr>
                <w:rStyle w:val="無"/>
                <w:rFonts w:eastAsia="Arial Unicode MS" w:hint="eastAsia"/>
                <w:sz w:val="20"/>
                <w:szCs w:val="20"/>
                <w:shd w:val="nil" w:color="auto" w:fill="auto"/>
                <w:rtl w:val="0"/>
                <w:lang w:val="zh-TW" w:eastAsia="zh-TW"/>
              </w:rPr>
              <w:t>年減少</w:t>
            </w:r>
            <w:r>
              <w:rPr>
                <w:rStyle w:val="無"/>
                <w:rFonts w:ascii="Arial Unicode MS" w:hAnsi="Arial Unicode MS"/>
                <w:sz w:val="20"/>
                <w:szCs w:val="20"/>
                <w:shd w:val="nil" w:color="auto" w:fill="auto"/>
                <w:rtl w:val="0"/>
                <w:lang w:val="zh-TW" w:eastAsia="zh-TW"/>
              </w:rPr>
              <w:t>43%</w:t>
            </w:r>
            <w:r>
              <w:rPr>
                <w:rStyle w:val="無"/>
                <w:rFonts w:eastAsia="Arial Unicode MS" w:hint="eastAsia"/>
                <w:sz w:val="20"/>
                <w:szCs w:val="20"/>
                <w:shd w:val="nil" w:color="auto" w:fill="auto"/>
                <w:rtl w:val="0"/>
                <w:lang w:val="zh-TW" w:eastAsia="zh-TW"/>
              </w:rPr>
              <w:t>的溫室氣體排放。</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而目前台灣的</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年減碳目標為較基準年（</w:t>
            </w:r>
            <w:r>
              <w:rPr>
                <w:rStyle w:val="無"/>
                <w:rFonts w:ascii="Arial Unicode MS" w:hAnsi="Arial Unicode MS"/>
                <w:sz w:val="20"/>
                <w:szCs w:val="20"/>
                <w:shd w:val="nil" w:color="auto" w:fill="auto"/>
                <w:rtl w:val="0"/>
                <w:lang w:val="zh-TW" w:eastAsia="zh-TW"/>
              </w:rPr>
              <w:t>2005</w:t>
            </w:r>
            <w:r>
              <w:rPr>
                <w:rStyle w:val="無"/>
                <w:rFonts w:eastAsia="Arial Unicode MS" w:hint="eastAsia"/>
                <w:sz w:val="20"/>
                <w:szCs w:val="20"/>
                <w:shd w:val="nil" w:color="auto" w:fill="auto"/>
                <w:rtl w:val="0"/>
                <w:lang w:val="zh-TW" w:eastAsia="zh-TW"/>
              </w:rPr>
              <w:t>年）減量</w:t>
            </w:r>
            <w:r>
              <w:rPr>
                <w:rStyle w:val="無"/>
                <w:rFonts w:ascii="Arial Unicode MS" w:hAnsi="Arial Unicode MS"/>
                <w:sz w:val="20"/>
                <w:szCs w:val="20"/>
                <w:shd w:val="nil" w:color="auto" w:fill="auto"/>
                <w:rtl w:val="0"/>
                <w:lang w:val="zh-TW" w:eastAsia="zh-TW"/>
              </w:rPr>
              <w:t>24</w:t>
            </w:r>
            <w:r>
              <w:rPr>
                <w:rStyle w:val="無"/>
                <w:rFonts w:ascii="Arial Unicode MS" w:hAnsi="Arial Unicode MS" w:hint="default"/>
                <w:sz w:val="20"/>
                <w:szCs w:val="20"/>
                <w:shd w:val="nil" w:color="auto" w:fill="auto"/>
                <w:rtl w:val="0"/>
                <w:lang w:val="zh-TW" w:eastAsia="zh-TW"/>
              </w:rPr>
              <w:t>±</w:t>
            </w: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，此目標不僅無法符合全球需求，亦不符合台灣要達到淨零排放時的中期目標需求。</w:t>
            </w:r>
          </w:p>
        </w:tc>
      </w:tr>
      <w:tr>
        <w:tblPrEx>
          <w:shd w:val="clear" w:color="auto" w:fill="cadfff"/>
        </w:tblPrEx>
        <w:trPr>
          <w:trHeight w:val="103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ascii="Arial Unicode MS" w:hAnsi="Arial Unicode MS"/>
                <w:sz w:val="24"/>
                <w:szCs w:val="24"/>
                <w:shd w:val="nil" w:color="auto" w:fill="auto"/>
                <w:rtl w:val="0"/>
                <w:lang w:val="zh-TW" w:eastAsia="zh-TW"/>
              </w:rPr>
              <w:t>2030</w:t>
            </w:r>
            <w:r>
              <w:rPr>
                <w:rStyle w:val="無"/>
                <w:rFonts w:eastAsia="Arial Unicode MS" w:hint="eastAsia"/>
                <w:sz w:val="24"/>
                <w:szCs w:val="24"/>
                <w:shd w:val="nil" w:color="auto" w:fill="auto"/>
                <w:rtl w:val="0"/>
                <w:lang w:val="zh-TW" w:eastAsia="zh-TW"/>
              </w:rPr>
              <w:t>減碳目標</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ascii="Arial" w:hAnsi="Arial"/>
                <w:sz w:val="20"/>
                <w:szCs w:val="20"/>
                <w:shd w:val="nil" w:color="auto" w:fill="auto"/>
                <w:rtl w:val="0"/>
                <w:lang w:val="zh-TW" w:eastAsia="zh-TW"/>
              </w:rPr>
              <w:t>24</w:t>
            </w:r>
            <w:r>
              <w:rPr>
                <w:rStyle w:val="無"/>
                <w:rFonts w:ascii="Arial" w:hAnsi="Arial" w:hint="default"/>
                <w:sz w:val="20"/>
                <w:szCs w:val="20"/>
                <w:shd w:val="nil" w:color="auto" w:fill="auto"/>
                <w:rtl w:val="0"/>
                <w:lang w:val="zh-TW" w:eastAsia="zh-TW"/>
              </w:rPr>
              <w:t>±</w:t>
            </w:r>
            <w:r>
              <w:rPr>
                <w:rStyle w:val="無"/>
                <w:rFonts w:ascii="Arial" w:hAnsi="Arial"/>
                <w:sz w:val="20"/>
                <w:szCs w:val="20"/>
                <w:shd w:val="nil" w:color="auto" w:fill="auto"/>
                <w:rtl w:val="0"/>
                <w:lang w:val="zh-TW" w:eastAsia="zh-TW"/>
              </w:rPr>
              <w:t>1%</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無</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無</w:t>
            </w:r>
          </w:p>
        </w:tc>
      </w:tr>
      <w:tr>
        <w:tblPrEx>
          <w:shd w:val="clear" w:color="auto" w:fill="cadfff"/>
        </w:tblPrEx>
        <w:trPr>
          <w:trHeight w:val="632"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減碳目標過於消極。</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未提出相關政見，應儘速提出</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未提出相關政見，應儘速提出</w:t>
            </w:r>
          </w:p>
        </w:tc>
      </w:tr>
      <w:tr>
        <w:tblPrEx>
          <w:shd w:val="clear" w:color="auto" w:fill="cadfff"/>
        </w:tblPrEx>
        <w:trPr>
          <w:trHeight w:val="4359"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侯、柯兩位候選人皆未提出</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年的減碳目標，賴則是延續蔡政府所規劃的目標</w:t>
            </w:r>
            <w:r>
              <w:rPr>
                <w:rStyle w:val="無"/>
                <w:rFonts w:ascii="Arial Unicode MS" w:hAnsi="Arial Unicode MS"/>
                <w:sz w:val="20"/>
                <w:szCs w:val="20"/>
                <w:shd w:val="nil" w:color="auto" w:fill="auto"/>
                <w:rtl w:val="0"/>
                <w:lang w:val="zh-TW" w:eastAsia="zh-TW"/>
              </w:rPr>
              <w:t>24</w:t>
            </w:r>
            <w:r>
              <w:rPr>
                <w:rStyle w:val="無"/>
                <w:rFonts w:ascii="Arial Unicode MS" w:hAnsi="Arial Unicode MS" w:hint="default"/>
                <w:sz w:val="20"/>
                <w:szCs w:val="20"/>
                <w:shd w:val="nil" w:color="auto" w:fill="auto"/>
                <w:rtl w:val="0"/>
                <w:lang w:val="zh-TW" w:eastAsia="zh-TW"/>
              </w:rPr>
              <w:t>±</w:t>
            </w: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，相比之下，六都皆已提出</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年減碳為</w:t>
            </w:r>
            <w:r>
              <w:rPr>
                <w:rStyle w:val="無"/>
                <w:rFonts w:ascii="Arial Unicode MS" w:hAnsi="Arial Unicode MS"/>
                <w:sz w:val="20"/>
                <w:szCs w:val="20"/>
                <w:shd w:val="nil" w:color="auto" w:fill="auto"/>
                <w:rtl w:val="0"/>
                <w:lang w:val="zh-TW" w:eastAsia="zh-TW"/>
              </w:rPr>
              <w:t>30%-40%</w:t>
            </w:r>
            <w:r>
              <w:rPr>
                <w:rStyle w:val="無"/>
                <w:rFonts w:eastAsia="Arial Unicode MS" w:hint="eastAsia"/>
                <w:sz w:val="20"/>
                <w:szCs w:val="20"/>
                <w:shd w:val="nil" w:color="auto" w:fill="auto"/>
                <w:rtl w:val="0"/>
                <w:lang w:val="zh-TW" w:eastAsia="zh-TW"/>
              </w:rPr>
              <w:t>的目標，民間所提出的</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年減碳目標則為</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，顯示三位候選人對於</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年的減碳目標都過於消極，不僅無法跟上國際減碳的腳步，也忽略了氣候緊急中的世代正義，將減碳的壓力轉嫁給未來的世代。各候選人應有明確如何達成</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年淨零排放的短、中、長期減碳路徑圖，包含各部門（如製造部門）的減碳目標及政策工具，讓人民得以監督，也利於促使地方政府、企業提出更積極的減碳的目標與氣候行動。</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年減碳目標過於消極，應加嚴至</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，以符合國際趨勢並回應世代正義。</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、除目標設定外，應以科學為基礎的評估方法，提出明確具有短、中、長期里程碑的淨零排放路徑圖。</w:t>
            </w:r>
          </w:p>
        </w:tc>
      </w:tr>
      <w:tr>
        <w:tblPrEx>
          <w:shd w:val="clear" w:color="auto" w:fill="cadfff"/>
        </w:tblPrEx>
        <w:trPr>
          <w:trHeight w:val="2995"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ascii="Arial Unicode MS" w:hAnsi="Arial Unicode MS"/>
                <w:sz w:val="24"/>
                <w:szCs w:val="24"/>
                <w:shd w:val="nil" w:color="auto" w:fill="auto"/>
                <w:rtl w:val="0"/>
                <w:lang w:val="zh-TW" w:eastAsia="zh-TW"/>
              </w:rPr>
              <w:t>2030</w:t>
            </w:r>
            <w:r>
              <w:rPr>
                <w:rStyle w:val="無"/>
                <w:rFonts w:eastAsia="Arial Unicode MS" w:hint="eastAsia"/>
                <w:sz w:val="24"/>
                <w:szCs w:val="24"/>
                <w:shd w:val="nil" w:color="auto" w:fill="auto"/>
                <w:rtl w:val="0"/>
                <w:lang w:val="zh-TW" w:eastAsia="zh-TW"/>
              </w:rPr>
              <w:t>電力結構</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電力結構指的是電力供給中不同發電方式的配比，日常生活、工業製造所造成的排放多寡都與電力結構息息相關。</w:t>
            </w:r>
            <w:r>
              <w:rPr>
                <w:rStyle w:val="無"/>
                <w:rFonts w:ascii="Arial Unicode MS" w:hAnsi="Arial Unicode MS"/>
                <w:sz w:val="20"/>
                <w:szCs w:val="20"/>
                <w:shd w:val="nil" w:color="auto" w:fill="auto"/>
                <w:rtl w:val="0"/>
                <w:lang w:val="zh-TW" w:eastAsia="zh-TW"/>
              </w:rPr>
              <w:t>2023</w:t>
            </w:r>
            <w:r>
              <w:rPr>
                <w:rStyle w:val="無"/>
                <w:rFonts w:eastAsia="Arial Unicode MS" w:hint="eastAsia"/>
                <w:sz w:val="20"/>
                <w:szCs w:val="20"/>
                <w:shd w:val="nil" w:color="auto" w:fill="auto"/>
                <w:rtl w:val="0"/>
                <w:lang w:val="zh-TW" w:eastAsia="zh-TW"/>
              </w:rPr>
              <w:t>年十月底為止，台灣的電力結構為：燃煤</w:t>
            </w:r>
            <w:r>
              <w:rPr>
                <w:rStyle w:val="無"/>
                <w:rFonts w:ascii="Arial Unicode MS" w:hAnsi="Arial Unicode MS"/>
                <w:sz w:val="20"/>
                <w:szCs w:val="20"/>
                <w:shd w:val="nil" w:color="auto" w:fill="auto"/>
                <w:rtl w:val="0"/>
                <w:lang w:val="zh-TW" w:eastAsia="zh-TW"/>
              </w:rPr>
              <w:t>43%</w:t>
            </w:r>
            <w:r>
              <w:rPr>
                <w:rStyle w:val="無"/>
                <w:rFonts w:eastAsia="Arial Unicode MS" w:hint="eastAsia"/>
                <w:sz w:val="20"/>
                <w:szCs w:val="20"/>
                <w:shd w:val="nil" w:color="auto" w:fill="auto"/>
                <w:rtl w:val="0"/>
                <w:lang w:val="zh-TW" w:eastAsia="zh-TW"/>
              </w:rPr>
              <w:t>、燃氣</w:t>
            </w:r>
            <w:r>
              <w:rPr>
                <w:rStyle w:val="無"/>
                <w:rFonts w:ascii="Arial Unicode MS" w:hAnsi="Arial Unicode MS"/>
                <w:sz w:val="20"/>
                <w:szCs w:val="20"/>
                <w:shd w:val="nil" w:color="auto" w:fill="auto"/>
                <w:rtl w:val="0"/>
                <w:lang w:val="zh-TW" w:eastAsia="zh-TW"/>
              </w:rPr>
              <w:t>39%</w:t>
            </w:r>
            <w:r>
              <w:rPr>
                <w:rStyle w:val="無"/>
                <w:rFonts w:eastAsia="Arial Unicode MS" w:hint="eastAsia"/>
                <w:sz w:val="20"/>
                <w:szCs w:val="20"/>
                <w:shd w:val="nil" w:color="auto" w:fill="auto"/>
                <w:rtl w:val="0"/>
                <w:lang w:val="zh-TW" w:eastAsia="zh-TW"/>
              </w:rPr>
              <w:t>、再生能源</w:t>
            </w:r>
            <w:r>
              <w:rPr>
                <w:rStyle w:val="無"/>
                <w:rFonts w:ascii="Arial Unicode MS" w:hAnsi="Arial Unicode MS"/>
                <w:sz w:val="20"/>
                <w:szCs w:val="20"/>
                <w:shd w:val="nil" w:color="auto" w:fill="auto"/>
                <w:rtl w:val="0"/>
                <w:lang w:val="zh-TW" w:eastAsia="zh-TW"/>
              </w:rPr>
              <w:t>9%</w:t>
            </w:r>
            <w:r>
              <w:rPr>
                <w:rStyle w:val="無"/>
                <w:rFonts w:eastAsia="Arial Unicode MS" w:hint="eastAsia"/>
                <w:sz w:val="20"/>
                <w:szCs w:val="20"/>
                <w:shd w:val="nil" w:color="auto" w:fill="auto"/>
                <w:rtl w:val="0"/>
                <w:lang w:val="zh-TW" w:eastAsia="zh-TW"/>
              </w:rPr>
              <w:t>、核能</w:t>
            </w:r>
            <w:r>
              <w:rPr>
                <w:rStyle w:val="無"/>
                <w:rFonts w:ascii="Arial Unicode MS" w:hAnsi="Arial Unicode MS"/>
                <w:sz w:val="20"/>
                <w:szCs w:val="20"/>
                <w:shd w:val="nil" w:color="auto" w:fill="auto"/>
                <w:rtl w:val="0"/>
                <w:lang w:val="zh-TW" w:eastAsia="zh-TW"/>
              </w:rPr>
              <w:t>6%</w:t>
            </w:r>
            <w:r>
              <w:rPr>
                <w:rStyle w:val="無"/>
                <w:rFonts w:eastAsia="Arial Unicode MS" w:hint="eastAsia"/>
                <w:sz w:val="20"/>
                <w:szCs w:val="20"/>
                <w:shd w:val="nil" w:color="auto" w:fill="auto"/>
                <w:rtl w:val="0"/>
                <w:lang w:val="zh-TW" w:eastAsia="zh-TW"/>
              </w:rPr>
              <w:t>，仍是以高排碳、高污染、高社會代價的傳統能源為主，要達到淨零排放的目標，就必須在淘汰高社會代價的核能發電同時，須加速減少燃煤火力的速度。</w:t>
            </w:r>
          </w:p>
        </w:tc>
      </w:tr>
      <w:tr>
        <w:tblPrEx>
          <w:shd w:val="clear" w:color="auto" w:fill="cadfff"/>
        </w:tblPrEx>
        <w:trPr>
          <w:trHeight w:val="865"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ascii="Arial Unicode MS" w:hAnsi="Arial Unicode MS"/>
                <w:sz w:val="24"/>
                <w:szCs w:val="24"/>
                <w:shd w:val="nil" w:color="auto" w:fill="auto"/>
                <w:rtl w:val="0"/>
                <w:lang w:val="zh-TW" w:eastAsia="zh-TW"/>
              </w:rPr>
              <w:t>2030</w:t>
            </w:r>
            <w:r>
              <w:rPr>
                <w:rStyle w:val="無"/>
                <w:rFonts w:eastAsia="Arial Unicode MS" w:hint="eastAsia"/>
                <w:sz w:val="24"/>
                <w:szCs w:val="24"/>
                <w:shd w:val="nil" w:color="auto" w:fill="auto"/>
                <w:rtl w:val="0"/>
                <w:lang w:val="zh-TW" w:eastAsia="zh-TW"/>
              </w:rPr>
              <w:t>電力結構</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d9d9d9"/>
            <w:tcMar>
              <w:top w:type="dxa" w:w="80"/>
              <w:left w:type="dxa" w:w="80"/>
              <w:bottom w:type="dxa" w:w="80"/>
              <w:right w:type="dxa" w:w="80"/>
            </w:tcMar>
            <w:vAlign w:val="top"/>
          </w:tcPr>
          <w:p>
            <w:pPr>
              <w:pStyle w:val="內文 A"/>
              <w:widowControl w:val="0"/>
              <w:spacing w:line="276" w:lineRule="auto"/>
              <w:jc w:val="center"/>
            </w:pPr>
            <w:r>
              <w:rPr>
                <w:rStyle w:val="無"/>
                <w:rFonts w:eastAsia="Arial Unicode MS" w:hint="eastAsia"/>
                <w:sz w:val="20"/>
                <w:szCs w:val="20"/>
                <w:shd w:val="nil" w:color="auto" w:fill="auto"/>
                <w:rtl w:val="0"/>
                <w:lang w:val="zh-TW" w:eastAsia="zh-TW"/>
              </w:rPr>
              <w:t>見下方電力配比主張表格</w:t>
            </w:r>
          </w:p>
        </w:tc>
      </w:tr>
      <w:tr>
        <w:tblPrEx>
          <w:shd w:val="clear" w:color="auto" w:fill="cadfff"/>
        </w:tblPrEx>
        <w:trPr>
          <w:trHeight w:val="5462"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目前再生能源占比目標乃依循當前行政部門所提出的</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年時風力達到</w:t>
            </w:r>
            <w:r>
              <w:rPr>
                <w:rStyle w:val="無"/>
                <w:rFonts w:ascii="Arial Unicode MS" w:hAnsi="Arial Unicode MS"/>
                <w:sz w:val="20"/>
                <w:szCs w:val="20"/>
                <w:shd w:val="nil" w:color="auto" w:fill="auto"/>
                <w:rtl w:val="0"/>
                <w:lang w:val="zh-TW" w:eastAsia="zh-TW"/>
              </w:rPr>
              <w:t>13.1GW</w:t>
            </w:r>
            <w:r>
              <w:rPr>
                <w:rStyle w:val="無"/>
                <w:rFonts w:eastAsia="Arial Unicode MS" w:hint="eastAsia"/>
                <w:sz w:val="20"/>
                <w:szCs w:val="20"/>
                <w:shd w:val="nil" w:color="auto" w:fill="auto"/>
                <w:rtl w:val="0"/>
                <w:lang w:val="zh-TW" w:eastAsia="zh-TW"/>
              </w:rPr>
              <w:t>以及光電</w:t>
            </w:r>
            <w:r>
              <w:rPr>
                <w:rStyle w:val="無"/>
                <w:rFonts w:ascii="Arial Unicode MS" w:hAnsi="Arial Unicode MS"/>
                <w:sz w:val="20"/>
                <w:szCs w:val="20"/>
                <w:shd w:val="nil" w:color="auto" w:fill="auto"/>
                <w:rtl w:val="0"/>
                <w:lang w:val="zh-TW" w:eastAsia="zh-TW"/>
              </w:rPr>
              <w:t>31GW</w:t>
            </w:r>
            <w:r>
              <w:rPr>
                <w:rStyle w:val="無"/>
                <w:rFonts w:eastAsia="Arial Unicode MS" w:hint="eastAsia"/>
                <w:sz w:val="20"/>
                <w:szCs w:val="20"/>
                <w:shd w:val="nil" w:color="auto" w:fill="auto"/>
                <w:rtl w:val="0"/>
                <w:lang w:val="zh-TW" w:eastAsia="zh-TW"/>
              </w:rPr>
              <w:t>所提出的規劃，唯此目標無法加速減煤進程，亦不利加嚴台灣</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減碳目標。</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預設發電量相同下，其減煤進程較其他候選人快。但其規劃乃是</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年時核電占比</w:t>
            </w:r>
            <w:r>
              <w:rPr>
                <w:rStyle w:val="無"/>
                <w:rFonts w:ascii="Arial Unicode MS" w:hAnsi="Arial Unicode MS"/>
                <w:sz w:val="20"/>
                <w:szCs w:val="20"/>
                <w:shd w:val="nil" w:color="auto" w:fill="auto"/>
                <w:rtl w:val="0"/>
                <w:lang w:val="zh-TW" w:eastAsia="zh-TW"/>
              </w:rPr>
              <w:t>12%</w:t>
            </w:r>
            <w:r>
              <w:rPr>
                <w:rStyle w:val="無"/>
                <w:rFonts w:eastAsia="Arial Unicode MS" w:hint="eastAsia"/>
                <w:sz w:val="20"/>
                <w:szCs w:val="20"/>
                <w:shd w:val="nil" w:color="auto" w:fill="auto"/>
                <w:rtl w:val="0"/>
                <w:lang w:val="zh-TW" w:eastAsia="zh-TW"/>
              </w:rPr>
              <w:t>。依據現行台灣核電發展，唯有核一至核三全面延役，方能達到此發電量。然而核一已經進入除役程序，核二因用過燃料池爆滿，需提前停機。核三亦已過延役申請期限。提出此主張時，應向社會說明此主張的可行性。</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其再生能源占比目標與執政黨候選人相同，未說明細部再生能源發展差異前提下，則可預見其對於光電與風力發電發展目標將延續執政黨。</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年核電占比</w:t>
            </w:r>
            <w:r>
              <w:rPr>
                <w:rStyle w:val="無"/>
                <w:rFonts w:ascii="Arial Unicode MS" w:hAnsi="Arial Unicode MS"/>
                <w:sz w:val="20"/>
                <w:szCs w:val="20"/>
                <w:shd w:val="nil" w:color="auto" w:fill="auto"/>
                <w:rtl w:val="0"/>
                <w:lang w:val="zh-TW" w:eastAsia="zh-TW"/>
              </w:rPr>
              <w:t>10%</w:t>
            </w:r>
            <w:r>
              <w:rPr>
                <w:rStyle w:val="無"/>
                <w:rFonts w:eastAsia="Arial Unicode MS" w:hint="eastAsia"/>
                <w:sz w:val="20"/>
                <w:szCs w:val="20"/>
                <w:shd w:val="nil" w:color="auto" w:fill="auto"/>
                <w:rtl w:val="0"/>
                <w:lang w:val="zh-TW" w:eastAsia="zh-TW"/>
              </w:rPr>
              <w:t>，代表核二與核三均需延役。然核二因用過燃料池爆滿，需提前停機。核三亦已過延役申請期限。提出此主張時，應向社會說明此主張可行性。</w:t>
            </w:r>
          </w:p>
        </w:tc>
      </w:tr>
      <w:tr>
        <w:tblPrEx>
          <w:shd w:val="clear" w:color="auto" w:fill="cadfff"/>
        </w:tblPrEx>
        <w:trPr>
          <w:trHeight w:val="5714"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若要達成淨零排放的</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年里程碑，全球再生能源裝置量增加至目標裝置量的三倍，風力與光電的占比合計應達到</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，而燃煤則須降至</w:t>
            </w:r>
            <w:r>
              <w:rPr>
                <w:rStyle w:val="無"/>
                <w:rFonts w:ascii="Arial Unicode MS" w:hAnsi="Arial Unicode MS"/>
                <w:sz w:val="20"/>
                <w:szCs w:val="20"/>
                <w:shd w:val="nil" w:color="auto" w:fill="auto"/>
                <w:rtl w:val="0"/>
                <w:lang w:val="zh-TW" w:eastAsia="zh-TW"/>
              </w:rPr>
              <w:t>13%</w:t>
            </w:r>
            <w:r>
              <w:rPr>
                <w:rStyle w:val="無"/>
                <w:rFonts w:eastAsia="Arial Unicode MS" w:hint="eastAsia"/>
                <w:sz w:val="20"/>
                <w:szCs w:val="20"/>
                <w:shd w:val="nil" w:color="auto" w:fill="auto"/>
                <w:rtl w:val="0"/>
                <w:lang w:val="zh-TW" w:eastAsia="zh-TW"/>
              </w:rPr>
              <w:t>。三位候選人於再生能源發展上，雖分別提出佔比將達到</w:t>
            </w:r>
            <w:r>
              <w:rPr>
                <w:rStyle w:val="無"/>
                <w:rFonts w:ascii="Arial Unicode MS" w:hAnsi="Arial Unicode MS"/>
                <w:sz w:val="20"/>
                <w:szCs w:val="20"/>
                <w:shd w:val="nil" w:color="auto" w:fill="auto"/>
                <w:rtl w:val="0"/>
                <w:lang w:val="zh-TW" w:eastAsia="zh-TW"/>
              </w:rPr>
              <w:t>27%</w:t>
            </w:r>
            <w:r>
              <w:rPr>
                <w:rStyle w:val="無"/>
                <w:rFonts w:eastAsia="Arial Unicode MS" w:hint="eastAsia"/>
                <w:sz w:val="20"/>
                <w:szCs w:val="20"/>
                <w:shd w:val="nil" w:color="auto" w:fill="auto"/>
                <w:rtl w:val="0"/>
                <w:lang w:val="zh-TW" w:eastAsia="zh-TW"/>
              </w:rPr>
              <w:t>與</w:t>
            </w:r>
            <w:r>
              <w:rPr>
                <w:rStyle w:val="無"/>
                <w:rFonts w:ascii="Arial Unicode MS" w:hAnsi="Arial Unicode MS"/>
                <w:sz w:val="20"/>
                <w:szCs w:val="20"/>
                <w:shd w:val="nil" w:color="auto" w:fill="auto"/>
                <w:rtl w:val="0"/>
                <w:lang w:val="zh-TW" w:eastAsia="zh-TW"/>
              </w:rPr>
              <w:t>30%</w:t>
            </w:r>
            <w:r>
              <w:rPr>
                <w:rStyle w:val="無"/>
                <w:rFonts w:eastAsia="Arial Unicode MS" w:hint="eastAsia"/>
                <w:sz w:val="20"/>
                <w:szCs w:val="20"/>
                <w:shd w:val="nil" w:color="auto" w:fill="auto"/>
                <w:rtl w:val="0"/>
                <w:lang w:val="zh-TW" w:eastAsia="zh-TW"/>
              </w:rPr>
              <w:t>，但此目標意味著後續台灣再生能源成長幅度，將較</w:t>
            </w:r>
            <w:r>
              <w:rPr>
                <w:rStyle w:val="無"/>
                <w:rFonts w:ascii="Arial Unicode MS" w:hAnsi="Arial Unicode MS"/>
                <w:sz w:val="20"/>
                <w:szCs w:val="20"/>
                <w:shd w:val="nil" w:color="auto" w:fill="auto"/>
                <w:rtl w:val="0"/>
                <w:lang w:val="zh-TW" w:eastAsia="zh-TW"/>
              </w:rPr>
              <w:t>2022</w:t>
            </w:r>
            <w:r>
              <w:rPr>
                <w:rStyle w:val="無"/>
                <w:rFonts w:eastAsia="Arial Unicode MS" w:hint="eastAsia"/>
                <w:sz w:val="20"/>
                <w:szCs w:val="20"/>
                <w:shd w:val="nil" w:color="auto" w:fill="auto"/>
                <w:rtl w:val="0"/>
                <w:lang w:val="zh-TW" w:eastAsia="zh-TW"/>
              </w:rPr>
              <w:t>年時為慢。而依據</w:t>
            </w:r>
            <w:r>
              <w:rPr>
                <w:rStyle w:val="無"/>
                <w:rFonts w:ascii="Arial Unicode MS" w:hAnsi="Arial Unicode MS"/>
                <w:sz w:val="20"/>
                <w:szCs w:val="20"/>
                <w:shd w:val="nil" w:color="auto" w:fill="auto"/>
                <w:rtl w:val="0"/>
                <w:lang w:val="zh-TW" w:eastAsia="zh-TW"/>
              </w:rPr>
              <w:t>RE100</w:t>
            </w:r>
            <w:r>
              <w:rPr>
                <w:rStyle w:val="無"/>
                <w:rFonts w:eastAsia="Arial Unicode MS" w:hint="eastAsia"/>
                <w:sz w:val="20"/>
                <w:szCs w:val="20"/>
                <w:shd w:val="nil" w:color="auto" w:fill="auto"/>
                <w:rtl w:val="0"/>
                <w:lang w:val="zh-TW" w:eastAsia="zh-TW"/>
              </w:rPr>
              <w:t>評估，</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年時，台灣企業的綠電需求量超過</w:t>
            </w:r>
            <w:r>
              <w:rPr>
                <w:rStyle w:val="無"/>
                <w:rFonts w:ascii="Arial Unicode MS" w:hAnsi="Arial Unicode MS"/>
                <w:sz w:val="20"/>
                <w:szCs w:val="20"/>
                <w:shd w:val="nil" w:color="auto" w:fill="auto"/>
                <w:rtl w:val="0"/>
                <w:lang w:val="zh-TW" w:eastAsia="zh-TW"/>
              </w:rPr>
              <w:t>250</w:t>
            </w:r>
            <w:r>
              <w:rPr>
                <w:rStyle w:val="無"/>
                <w:rFonts w:eastAsia="Arial Unicode MS" w:hint="eastAsia"/>
                <w:sz w:val="20"/>
                <w:szCs w:val="20"/>
                <w:shd w:val="nil" w:color="auto" w:fill="auto"/>
                <w:rtl w:val="0"/>
                <w:lang w:val="zh-TW" w:eastAsia="zh-TW"/>
              </w:rPr>
              <w:t>億度以上。且在蘋果</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年達成供應鏈碳中和，台積電綠電占比要達到</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，政府要求製造業綠電占比要達到</w:t>
            </w:r>
            <w:r>
              <w:rPr>
                <w:rStyle w:val="無"/>
                <w:rFonts w:ascii="Arial Unicode MS" w:hAnsi="Arial Unicode MS"/>
                <w:sz w:val="20"/>
                <w:szCs w:val="20"/>
                <w:shd w:val="nil" w:color="auto" w:fill="auto"/>
                <w:rtl w:val="0"/>
                <w:lang w:val="zh-TW" w:eastAsia="zh-TW"/>
              </w:rPr>
              <w:t>15%</w:t>
            </w:r>
            <w:r>
              <w:rPr>
                <w:rStyle w:val="無"/>
                <w:rFonts w:eastAsia="Arial Unicode MS" w:hint="eastAsia"/>
                <w:sz w:val="20"/>
                <w:szCs w:val="20"/>
                <w:shd w:val="nil" w:color="auto" w:fill="auto"/>
                <w:rtl w:val="0"/>
                <w:lang w:val="zh-TW" w:eastAsia="zh-TW"/>
              </w:rPr>
              <w:t>以上等趨勢下，台灣企業履行各類綠電承諾時，</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年的綠電需求量便須達到</w:t>
            </w:r>
            <w:r>
              <w:rPr>
                <w:rStyle w:val="無"/>
                <w:rFonts w:ascii="Arial Unicode MS" w:hAnsi="Arial Unicode MS"/>
                <w:sz w:val="20"/>
                <w:szCs w:val="20"/>
                <w:shd w:val="nil" w:color="auto" w:fill="auto"/>
                <w:rtl w:val="0"/>
                <w:lang w:val="zh-TW" w:eastAsia="zh-TW"/>
              </w:rPr>
              <w:t>600</w:t>
            </w:r>
            <w:r>
              <w:rPr>
                <w:rStyle w:val="無"/>
                <w:rFonts w:eastAsia="Arial Unicode MS" w:hint="eastAsia"/>
                <w:sz w:val="20"/>
                <w:szCs w:val="20"/>
                <w:shd w:val="nil" w:color="auto" w:fill="auto"/>
                <w:rtl w:val="0"/>
                <w:lang w:val="zh-TW" w:eastAsia="zh-TW"/>
              </w:rPr>
              <w:t>億度以上。而侯友宜提出的再生能源規劃，</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年時比官方少</w:t>
            </w:r>
            <w:r>
              <w:rPr>
                <w:rStyle w:val="無"/>
                <w:rFonts w:ascii="Arial Unicode MS" w:hAnsi="Arial Unicode MS"/>
                <w:sz w:val="20"/>
                <w:szCs w:val="20"/>
                <w:shd w:val="nil" w:color="auto" w:fill="auto"/>
                <w:rtl w:val="0"/>
                <w:lang w:val="zh-TW" w:eastAsia="zh-TW"/>
              </w:rPr>
              <w:t>100</w:t>
            </w:r>
            <w:r>
              <w:rPr>
                <w:rStyle w:val="無"/>
                <w:rFonts w:eastAsia="Arial Unicode MS" w:hint="eastAsia"/>
                <w:sz w:val="20"/>
                <w:szCs w:val="20"/>
                <w:shd w:val="nil" w:color="auto" w:fill="auto"/>
                <w:rtl w:val="0"/>
                <w:lang w:val="zh-TW" w:eastAsia="zh-TW"/>
              </w:rPr>
              <w:t>億度，將不利企業履行</w:t>
            </w:r>
            <w:r>
              <w:rPr>
                <w:rStyle w:val="無"/>
                <w:rFonts w:ascii="Arial Unicode MS" w:hAnsi="Arial Unicode MS"/>
                <w:sz w:val="20"/>
                <w:szCs w:val="20"/>
                <w:shd w:val="nil" w:color="auto" w:fill="auto"/>
                <w:rtl w:val="0"/>
                <w:lang w:val="zh-TW" w:eastAsia="zh-TW"/>
              </w:rPr>
              <w:t>RE100</w:t>
            </w:r>
            <w:r>
              <w:rPr>
                <w:rStyle w:val="無"/>
                <w:rFonts w:eastAsia="Arial Unicode MS" w:hint="eastAsia"/>
                <w:sz w:val="20"/>
                <w:szCs w:val="20"/>
                <w:shd w:val="nil" w:color="auto" w:fill="auto"/>
                <w:rtl w:val="0"/>
                <w:lang w:val="zh-TW" w:eastAsia="zh-TW"/>
              </w:rPr>
              <w:t>目標。另一方面，若</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年燃煤占比維持在</w:t>
            </w:r>
            <w:r>
              <w:rPr>
                <w:rStyle w:val="無"/>
                <w:rFonts w:ascii="Arial Unicode MS" w:hAnsi="Arial Unicode MS"/>
                <w:sz w:val="20"/>
                <w:szCs w:val="20"/>
                <w:shd w:val="nil" w:color="auto" w:fill="auto"/>
                <w:rtl w:val="0"/>
                <w:lang w:val="zh-TW" w:eastAsia="zh-TW"/>
              </w:rPr>
              <w:t>20%</w:t>
            </w:r>
            <w:r>
              <w:rPr>
                <w:rStyle w:val="無"/>
                <w:rFonts w:eastAsia="Arial Unicode MS" w:hint="eastAsia"/>
                <w:sz w:val="20"/>
                <w:szCs w:val="20"/>
                <w:shd w:val="nil" w:color="auto" w:fill="auto"/>
                <w:rtl w:val="0"/>
                <w:lang w:val="zh-TW" w:eastAsia="zh-TW"/>
              </w:rPr>
              <w:t>時，意味著</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年時，燃煤發電量約為</w:t>
            </w:r>
            <w:r>
              <w:rPr>
                <w:rStyle w:val="無"/>
                <w:rFonts w:ascii="Arial Unicode MS" w:hAnsi="Arial Unicode MS"/>
                <w:sz w:val="20"/>
                <w:szCs w:val="20"/>
                <w:shd w:val="nil" w:color="auto" w:fill="auto"/>
                <w:rtl w:val="0"/>
                <w:lang w:val="zh-TW" w:eastAsia="zh-TW"/>
              </w:rPr>
              <w:t>700</w:t>
            </w:r>
            <w:r>
              <w:rPr>
                <w:rStyle w:val="無"/>
                <w:rFonts w:eastAsia="Arial Unicode MS" w:hint="eastAsia"/>
                <w:sz w:val="20"/>
                <w:szCs w:val="20"/>
                <w:shd w:val="nil" w:color="auto" w:fill="auto"/>
                <w:rtl w:val="0"/>
                <w:lang w:val="zh-TW" w:eastAsia="zh-TW"/>
              </w:rPr>
              <w:t>億度左右，此舉意味著東部和平火力電廠將延續發電，而台中火力發電廠燃煤電廠的除役時間亦無法從</w:t>
            </w:r>
            <w:r>
              <w:rPr>
                <w:rStyle w:val="無"/>
                <w:rFonts w:ascii="Arial Unicode MS" w:hAnsi="Arial Unicode MS"/>
                <w:sz w:val="20"/>
                <w:szCs w:val="20"/>
                <w:shd w:val="nil" w:color="auto" w:fill="auto"/>
                <w:rtl w:val="0"/>
                <w:lang w:val="zh-TW" w:eastAsia="zh-TW"/>
              </w:rPr>
              <w:t>2035</w:t>
            </w:r>
            <w:r>
              <w:rPr>
                <w:rStyle w:val="無"/>
                <w:rFonts w:eastAsia="Arial Unicode MS" w:hint="eastAsia"/>
                <w:sz w:val="20"/>
                <w:szCs w:val="20"/>
                <w:shd w:val="nil" w:color="auto" w:fill="auto"/>
                <w:rtl w:val="0"/>
                <w:lang w:val="zh-TW" w:eastAsia="zh-TW"/>
              </w:rPr>
              <w:t>提前至</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呼籲各方，為回應國際加速能源轉型趨勢，確保滿足台灣企業綠電需求，以及加速減煤期程：</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、應訂定更為積極的再生能源發展目標，</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年時再生能源占比應提升至</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、延續訴求</w:t>
            </w: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，再生能源占比提升至</w:t>
            </w:r>
            <w:r>
              <w:rPr>
                <w:rStyle w:val="無"/>
                <w:rFonts w:ascii="Arial Unicode MS" w:hAnsi="Arial Unicode MS"/>
                <w:sz w:val="20"/>
                <w:szCs w:val="20"/>
                <w:shd w:val="nil" w:color="auto" w:fill="auto"/>
                <w:rtl w:val="0"/>
                <w:lang w:val="zh-TW" w:eastAsia="zh-TW"/>
              </w:rPr>
              <w:t>40%</w:t>
            </w:r>
            <w:r>
              <w:rPr>
                <w:rStyle w:val="無"/>
                <w:rFonts w:eastAsia="Arial Unicode MS" w:hint="eastAsia"/>
                <w:sz w:val="20"/>
                <w:szCs w:val="20"/>
                <w:shd w:val="nil" w:color="auto" w:fill="auto"/>
                <w:rtl w:val="0"/>
                <w:lang w:val="zh-TW" w:eastAsia="zh-TW"/>
              </w:rPr>
              <w:t>時，可在非核家園條件下，將燃煤發電占比削減至</w:t>
            </w:r>
            <w:r>
              <w:rPr>
                <w:rStyle w:val="無"/>
                <w:rFonts w:ascii="Arial Unicode MS" w:hAnsi="Arial Unicode MS"/>
                <w:sz w:val="20"/>
                <w:szCs w:val="20"/>
                <w:shd w:val="nil" w:color="auto" w:fill="auto"/>
                <w:rtl w:val="0"/>
                <w:lang w:val="zh-TW" w:eastAsia="zh-TW"/>
              </w:rPr>
              <w:t>10</w:t>
            </w:r>
            <w:r>
              <w:rPr>
                <w:rStyle w:val="無"/>
                <w:rFonts w:eastAsia="Arial Unicode MS" w:hint="eastAsia"/>
                <w:sz w:val="20"/>
                <w:szCs w:val="20"/>
                <w:shd w:val="nil" w:color="auto" w:fill="auto"/>
                <w:rtl w:val="0"/>
                <w:lang w:val="zh-TW" w:eastAsia="zh-TW"/>
              </w:rPr>
              <w:t>％以下，才符合</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年時已開發國家無煤，</w:t>
            </w:r>
            <w:r>
              <w:rPr>
                <w:rStyle w:val="無"/>
                <w:rFonts w:ascii="Arial Unicode MS" w:hAnsi="Arial Unicode MS"/>
                <w:sz w:val="20"/>
                <w:szCs w:val="20"/>
                <w:shd w:val="nil" w:color="auto" w:fill="auto"/>
                <w:rtl w:val="0"/>
                <w:lang w:val="zh-TW" w:eastAsia="zh-TW"/>
              </w:rPr>
              <w:t>2040</w:t>
            </w:r>
            <w:r>
              <w:rPr>
                <w:rStyle w:val="無"/>
                <w:rFonts w:eastAsia="Arial Unicode MS" w:hint="eastAsia"/>
                <w:sz w:val="20"/>
                <w:szCs w:val="20"/>
                <w:shd w:val="nil" w:color="auto" w:fill="auto"/>
                <w:rtl w:val="0"/>
                <w:lang w:val="zh-TW" w:eastAsia="zh-TW"/>
              </w:rPr>
              <w:t>年全球均無煤的目標。</w:t>
            </w:r>
          </w:p>
        </w:tc>
      </w:tr>
      <w:tr>
        <w:tblPrEx>
          <w:shd w:val="clear" w:color="auto" w:fill="cadfff"/>
        </w:tblPrEx>
        <w:trPr>
          <w:trHeight w:val="397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碳定價</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碳定價是基於污染者付費原則，政府藉由對溫室氣體的排放訂定價格，讓企業因為成本增加而產生誘因來減少溫室氣體的排放。碳定價機制一般可以分為兩種，分別是碳稅（費）與碳交易，兩者的差別在於，碳稅（費）是以價制量，也就是透過價格的調整，控制數量。當碳稅（費）越高，排放量越少。碳交易則是以量制價，政府限制所有企業可以排放的溫室氣體總量，並透過市場機制決定價格。當企業可以排放的量越少，則碳排放的價格越高。</w:t>
            </w:r>
          </w:p>
        </w:tc>
      </w:tr>
      <w:tr>
        <w:tblPrEx>
          <w:shd w:val="clear" w:color="auto" w:fill="cadfff"/>
        </w:tblPrEx>
        <w:trPr>
          <w:trHeight w:val="2227"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碳定價</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碳費先行</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碳權交易連結國際</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，透過優惠費率、減量額度等工具鼓勵減碳，後續依據成效，來建立中長期的完整碳定價機制</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無</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、多元碳定價政策</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碳費</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稅或排放交易的總量管制</w:t>
            </w:r>
            <w:r>
              <w:rPr>
                <w:rStyle w:val="無"/>
                <w:rFonts w:ascii="Arial Unicode MS" w:hAnsi="Arial Unicode MS"/>
                <w:sz w:val="20"/>
                <w:szCs w:val="20"/>
                <w:shd w:val="nil" w:color="auto" w:fill="auto"/>
                <w:rtl w:val="0"/>
                <w:lang w:val="zh-TW" w:eastAsia="zh-TW"/>
              </w:rPr>
              <w:t>)</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、每年公布碳定價收入和使用情形</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、移除不當補貼</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課碳稅，逐步導引電價正常化，反應能源真實成本</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4</w:t>
            </w:r>
            <w:r>
              <w:rPr>
                <w:rStyle w:val="無"/>
                <w:rFonts w:eastAsia="Arial Unicode MS" w:hint="eastAsia"/>
                <w:sz w:val="20"/>
                <w:szCs w:val="20"/>
                <w:shd w:val="nil" w:color="auto" w:fill="auto"/>
                <w:rtl w:val="0"/>
                <w:lang w:val="zh-TW" w:eastAsia="zh-TW"/>
              </w:rPr>
              <w:t>、碳稅收入做為財源，用於補貼弱勢</w:t>
            </w:r>
          </w:p>
        </w:tc>
      </w:tr>
      <w:tr>
        <w:tblPrEx>
          <w:shd w:val="clear" w:color="auto" w:fill="cadfff"/>
        </w:tblPrEx>
        <w:trPr>
          <w:trHeight w:val="1135"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缺乏中長期的碳定價規劃，且碳權有漂綠疑慮</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未提出相關政見，應儘速提出</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缺乏中長期的碳定價規劃，公開收入用途方向正確，缺乏具體規劃</w:t>
            </w:r>
          </w:p>
        </w:tc>
      </w:tr>
      <w:tr>
        <w:tblPrEx>
          <w:shd w:val="clear" w:color="auto" w:fill="cadfff"/>
        </w:tblPrEx>
        <w:trPr>
          <w:trHeight w:val="8867" w:hRule="atLeast"/>
        </w:trPr>
        <w:tc>
          <w:tcPr>
            <w:tcW w:type="dxa" w:w="1504"/>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三位候選人都未針對碳費（稅）進行中長期的規劃，包括以碳稅取代碳費的時程規劃以及中長期的費率目標。候選人應該提出具體的碳費規劃路徑圖，包括碳費的計算及徵收方式，並且應該提出中長期的目標，以釋放出明確的價格訊號，供企業在規劃減碳期程時能有所依據。在碳費（稅）率的規劃上，</w:t>
            </w:r>
            <w:r>
              <w:rPr>
                <w:rStyle w:val="無"/>
                <w:rFonts w:ascii="Arial Unicode MS" w:hAnsi="Arial Unicode MS"/>
                <w:sz w:val="20"/>
                <w:szCs w:val="20"/>
                <w:shd w:val="nil" w:color="auto" w:fill="auto"/>
                <w:rtl w:val="0"/>
                <w:lang w:val="zh-TW" w:eastAsia="zh-TW"/>
              </w:rPr>
              <w:t>OECD</w:t>
            </w:r>
            <w:r>
              <w:rPr>
                <w:rStyle w:val="無"/>
                <w:rFonts w:eastAsia="Arial Unicode MS" w:hint="eastAsia"/>
                <w:sz w:val="20"/>
                <w:szCs w:val="20"/>
                <w:shd w:val="nil" w:color="auto" w:fill="auto"/>
                <w:rtl w:val="0"/>
                <w:lang w:val="zh-TW" w:eastAsia="zh-TW"/>
              </w:rPr>
              <w:t>建議</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年的最低碳定價應來到</w:t>
            </w:r>
            <w:r>
              <w:rPr>
                <w:rStyle w:val="無"/>
                <w:rFonts w:ascii="Arial Unicode MS" w:hAnsi="Arial Unicode MS"/>
                <w:sz w:val="20"/>
                <w:szCs w:val="20"/>
                <w:shd w:val="nil" w:color="auto" w:fill="auto"/>
                <w:rtl w:val="0"/>
                <w:lang w:val="zh-TW" w:eastAsia="zh-TW"/>
              </w:rPr>
              <w:t>60</w:t>
            </w:r>
            <w:r>
              <w:rPr>
                <w:rStyle w:val="無"/>
                <w:rFonts w:eastAsia="Arial Unicode MS" w:hint="eastAsia"/>
                <w:sz w:val="20"/>
                <w:szCs w:val="20"/>
                <w:shd w:val="nil" w:color="auto" w:fill="auto"/>
                <w:rtl w:val="0"/>
                <w:lang w:val="zh-TW" w:eastAsia="zh-TW"/>
              </w:rPr>
              <w:t>歐元，</w:t>
            </w:r>
            <w:r>
              <w:rPr>
                <w:rStyle w:val="無"/>
                <w:rFonts w:ascii="Arial Unicode MS" w:hAnsi="Arial Unicode MS"/>
                <w:sz w:val="20"/>
                <w:szCs w:val="20"/>
                <w:shd w:val="nil" w:color="auto" w:fill="auto"/>
                <w:rtl w:val="0"/>
                <w:lang w:val="zh-TW" w:eastAsia="zh-TW"/>
              </w:rPr>
              <w:t>IMF</w:t>
            </w:r>
            <w:r>
              <w:rPr>
                <w:rStyle w:val="無"/>
                <w:rFonts w:eastAsia="Arial Unicode MS" w:hint="eastAsia"/>
                <w:sz w:val="20"/>
                <w:szCs w:val="20"/>
                <w:shd w:val="nil" w:color="auto" w:fill="auto"/>
                <w:rtl w:val="0"/>
                <w:lang w:val="zh-TW" w:eastAsia="zh-TW"/>
              </w:rPr>
              <w:t>則認為應該要達到</w:t>
            </w:r>
            <w:r>
              <w:rPr>
                <w:rStyle w:val="無"/>
                <w:rFonts w:ascii="Arial Unicode MS" w:hAnsi="Arial Unicode MS"/>
                <w:sz w:val="20"/>
                <w:szCs w:val="20"/>
                <w:shd w:val="nil" w:color="auto" w:fill="auto"/>
                <w:rtl w:val="0"/>
                <w:lang w:val="zh-TW" w:eastAsia="zh-TW"/>
              </w:rPr>
              <w:t>75</w:t>
            </w:r>
            <w:r>
              <w:rPr>
                <w:rStyle w:val="無"/>
                <w:rFonts w:eastAsia="Arial Unicode MS" w:hint="eastAsia"/>
                <w:sz w:val="20"/>
                <w:szCs w:val="20"/>
                <w:shd w:val="nil" w:color="auto" w:fill="auto"/>
                <w:rtl w:val="0"/>
                <w:lang w:val="zh-TW" w:eastAsia="zh-TW"/>
              </w:rPr>
              <w:t>美元。鄰近的新加坡也已經提出</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年將會收取每噸</w:t>
            </w:r>
            <w:r>
              <w:rPr>
                <w:rStyle w:val="無"/>
                <w:rFonts w:ascii="Arial Unicode MS" w:hAnsi="Arial Unicode MS"/>
                <w:sz w:val="20"/>
                <w:szCs w:val="20"/>
                <w:shd w:val="nil" w:color="auto" w:fill="auto"/>
                <w:rtl w:val="0"/>
                <w:lang w:val="zh-TW" w:eastAsia="zh-TW"/>
              </w:rPr>
              <w:t>80</w:t>
            </w:r>
            <w:r>
              <w:rPr>
                <w:rStyle w:val="無"/>
                <w:rFonts w:eastAsia="Arial Unicode MS" w:hint="eastAsia"/>
                <w:sz w:val="20"/>
                <w:szCs w:val="20"/>
                <w:shd w:val="nil" w:color="auto" w:fill="auto"/>
                <w:rtl w:val="0"/>
                <w:lang w:val="zh-TW" w:eastAsia="zh-TW"/>
              </w:rPr>
              <w:t>美元。對比之下，台灣目前還未訂定起徵費率，已是相當延宕。除此之外，在費率的制定上，應該要能如實地反映社會成本，且費率必須夠高，企業才會有意願進行減碳。</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其次，在碳費的收入分配上，應該要考慮到公正轉型、綠色轉型以及公民參與等價值。已經有許多國家研究指出，徵收碳費的相關成本，極有可能轉嫁至消費者或終端用戶身上，對於低收入家庭而言將造成較大的衝擊。因此碳稅的收入應該歸還給全民，減輕弱勢族群負擔，而非用於補助企業，造成左手進右手出的現象，且也違背污染者付費的根本原則。對於碳費收入此議題，賴清德並未針對碳費收入提出相關政見，侯友宜也未提出，僅柯文哲提出將公開碳稅收入和使用情形，並將碳稅收入用於弱勢補貼，方向正確。</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最後，在配套機制部分，侯友宜在這部分並未提出任何政見。賴清德則提出以優惠費率和抵換額度鼓勵企業減碳。然而優惠費率的實施與監督需要耗費大量的行政成本，極少有國家採用優惠費率做法。抵換額度，也又是俗稱的碳權，在國際上已經受到相當大程度地漂綠質疑，不應成為政策的推動重點。柯文哲提出多元的碳定價政策，其中包括碳交易。然而學界早已指出碳稅相較於碳交易更為簡單明瞭，行政成本低，且方便企業界根據價格訊號進行減碳規劃，更適合作為台灣的碳定價政策工具。</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、在沒有優惠費率的前提，碳費起徵費率從</w:t>
            </w:r>
            <w:r>
              <w:rPr>
                <w:rStyle w:val="無"/>
                <w:rFonts w:ascii="Arial Unicode MS" w:hAnsi="Arial Unicode MS"/>
                <w:sz w:val="20"/>
                <w:szCs w:val="20"/>
                <w:shd w:val="nil" w:color="auto" w:fill="auto"/>
                <w:rtl w:val="0"/>
                <w:lang w:val="zh-TW" w:eastAsia="zh-TW"/>
              </w:rPr>
              <w:t>500</w:t>
            </w:r>
            <w:r>
              <w:rPr>
                <w:rStyle w:val="無"/>
                <w:rFonts w:eastAsia="Arial Unicode MS" w:hint="eastAsia"/>
                <w:sz w:val="20"/>
                <w:szCs w:val="20"/>
                <w:shd w:val="nil" w:color="auto" w:fill="auto"/>
                <w:rtl w:val="0"/>
                <w:lang w:val="zh-TW" w:eastAsia="zh-TW"/>
              </w:rPr>
              <w:t>元開始起徵，並且在</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年時將碳定價提升至</w:t>
            </w:r>
            <w:r>
              <w:rPr>
                <w:rStyle w:val="無"/>
                <w:rFonts w:ascii="Arial Unicode MS" w:hAnsi="Arial Unicode MS"/>
                <w:sz w:val="20"/>
                <w:szCs w:val="20"/>
                <w:shd w:val="nil" w:color="auto" w:fill="auto"/>
                <w:rtl w:val="0"/>
                <w:lang w:val="zh-TW" w:eastAsia="zh-TW"/>
              </w:rPr>
              <w:t>3,000</w:t>
            </w:r>
            <w:r>
              <w:rPr>
                <w:rStyle w:val="無"/>
                <w:rFonts w:eastAsia="Arial Unicode MS" w:hint="eastAsia"/>
                <w:sz w:val="20"/>
                <w:szCs w:val="20"/>
                <w:shd w:val="nil" w:color="auto" w:fill="auto"/>
                <w:rtl w:val="0"/>
                <w:lang w:val="zh-TW" w:eastAsia="zh-TW"/>
              </w:rPr>
              <w:t>元，方可提供誘因促使高碳排產業積極減碳。</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、應捨棄優惠費率，並將重心放在碳費徵收，具體規劃碳稅及碳費的銜接期程</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、短期碳費，長期碳稅，由財政部主責課徵碳稅，並將碳稅收入回歸全民避免將碳稅收入用於補助高碳排企業。</w:t>
            </w:r>
          </w:p>
        </w:tc>
      </w:tr>
      <w:tr>
        <w:tblPrEx>
          <w:shd w:val="clear" w:color="auto" w:fill="cadfff"/>
        </w:tblPrEx>
        <w:trPr>
          <w:trHeight w:val="493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再生能源</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國際能源總署分析風力與太陽光電對達到</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年淨零排放目標時，減碳貢獻量達到</w:t>
            </w:r>
            <w:r>
              <w:rPr>
                <w:rStyle w:val="無"/>
                <w:rFonts w:ascii="Arial Unicode MS" w:hAnsi="Arial Unicode MS"/>
                <w:sz w:val="20"/>
                <w:szCs w:val="20"/>
                <w:shd w:val="nil" w:color="auto" w:fill="auto"/>
                <w:rtl w:val="0"/>
                <w:lang w:val="zh-TW" w:eastAsia="zh-TW"/>
              </w:rPr>
              <w:t>25%</w:t>
            </w:r>
            <w:r>
              <w:rPr>
                <w:rStyle w:val="無"/>
                <w:rFonts w:eastAsia="Arial Unicode MS" w:hint="eastAsia"/>
                <w:sz w:val="20"/>
                <w:szCs w:val="20"/>
                <w:shd w:val="nil" w:color="auto" w:fill="auto"/>
                <w:rtl w:val="0"/>
                <w:lang w:val="zh-TW" w:eastAsia="zh-TW"/>
              </w:rPr>
              <w:t>以上，是最關鍵減量措施。而</w:t>
            </w:r>
            <w:r>
              <w:rPr>
                <w:rStyle w:val="無"/>
                <w:rFonts w:ascii="Arial Unicode MS" w:hAnsi="Arial Unicode MS"/>
                <w:sz w:val="20"/>
                <w:szCs w:val="20"/>
                <w:shd w:val="nil" w:color="auto" w:fill="auto"/>
                <w:rtl w:val="0"/>
                <w:lang w:val="zh-TW" w:eastAsia="zh-TW"/>
              </w:rPr>
              <w:t>117</w:t>
            </w:r>
            <w:r>
              <w:rPr>
                <w:rStyle w:val="無"/>
                <w:rFonts w:eastAsia="Arial Unicode MS" w:hint="eastAsia"/>
                <w:sz w:val="20"/>
                <w:szCs w:val="20"/>
                <w:shd w:val="nil" w:color="auto" w:fill="auto"/>
                <w:rtl w:val="0"/>
                <w:lang w:val="zh-TW" w:eastAsia="zh-TW"/>
              </w:rPr>
              <w:t>國方於</w:t>
            </w:r>
            <w:r>
              <w:rPr>
                <w:rStyle w:val="無"/>
                <w:rFonts w:ascii="Arial Unicode MS" w:hAnsi="Arial Unicode MS"/>
                <w:sz w:val="20"/>
                <w:szCs w:val="20"/>
                <w:shd w:val="nil" w:color="auto" w:fill="auto"/>
                <w:rtl w:val="0"/>
                <w:lang w:val="zh-TW" w:eastAsia="zh-TW"/>
              </w:rPr>
              <w:t>COP28</w:t>
            </w:r>
            <w:r>
              <w:rPr>
                <w:rStyle w:val="無"/>
                <w:rFonts w:eastAsia="Arial Unicode MS" w:hint="eastAsia"/>
                <w:sz w:val="20"/>
                <w:szCs w:val="20"/>
                <w:shd w:val="nil" w:color="auto" w:fill="auto"/>
                <w:rtl w:val="0"/>
                <w:lang w:val="zh-TW" w:eastAsia="zh-TW"/>
              </w:rPr>
              <w:t>簽署</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年再生能源裝置量需達到今日三倍的政策承諾，亦以風力與光電為達標主力。台灣自</w:t>
            </w:r>
            <w:r>
              <w:rPr>
                <w:rStyle w:val="無"/>
                <w:rFonts w:ascii="Arial Unicode MS" w:hAnsi="Arial Unicode MS"/>
                <w:sz w:val="20"/>
                <w:szCs w:val="20"/>
                <w:shd w:val="nil" w:color="auto" w:fill="auto"/>
                <w:rtl w:val="0"/>
                <w:lang w:val="zh-TW" w:eastAsia="zh-TW"/>
              </w:rPr>
              <w:t>2016</w:t>
            </w:r>
            <w:r>
              <w:rPr>
                <w:rStyle w:val="無"/>
                <w:rFonts w:eastAsia="Arial Unicode MS" w:hint="eastAsia"/>
                <w:sz w:val="20"/>
                <w:szCs w:val="20"/>
                <w:shd w:val="nil" w:color="auto" w:fill="auto"/>
                <w:rtl w:val="0"/>
                <w:lang w:val="zh-TW" w:eastAsia="zh-TW"/>
              </w:rPr>
              <w:t>年啟動能源轉型政策以來，再生能源雖已大幅提升，但其衍生的各類副作用，導致社會信任度降低，也致使</w:t>
            </w:r>
            <w:r>
              <w:rPr>
                <w:rStyle w:val="無"/>
                <w:rFonts w:ascii="Arial Unicode MS" w:hAnsi="Arial Unicode MS"/>
                <w:sz w:val="20"/>
                <w:szCs w:val="20"/>
                <w:shd w:val="nil" w:color="auto" w:fill="auto"/>
                <w:rtl w:val="0"/>
                <w:lang w:val="zh-TW" w:eastAsia="zh-TW"/>
              </w:rPr>
              <w:t>2025</w:t>
            </w:r>
            <w:r>
              <w:rPr>
                <w:rStyle w:val="無"/>
                <w:rFonts w:eastAsia="Arial Unicode MS" w:hint="eastAsia"/>
                <w:sz w:val="20"/>
                <w:szCs w:val="20"/>
                <w:shd w:val="nil" w:color="auto" w:fill="auto"/>
                <w:rtl w:val="0"/>
                <w:lang w:val="zh-TW" w:eastAsia="zh-TW"/>
              </w:rPr>
              <w:t>年原定的再生能源佔比</w:t>
            </w:r>
            <w:r>
              <w:rPr>
                <w:rStyle w:val="無"/>
                <w:rFonts w:ascii="Arial Unicode MS" w:hAnsi="Arial Unicode MS"/>
                <w:sz w:val="20"/>
                <w:szCs w:val="20"/>
                <w:shd w:val="nil" w:color="auto" w:fill="auto"/>
                <w:rtl w:val="0"/>
                <w:lang w:val="zh-TW" w:eastAsia="zh-TW"/>
              </w:rPr>
              <w:t>20%</w:t>
            </w:r>
            <w:r>
              <w:rPr>
                <w:rStyle w:val="無"/>
                <w:rFonts w:eastAsia="Arial Unicode MS" w:hint="eastAsia"/>
                <w:sz w:val="20"/>
                <w:szCs w:val="20"/>
                <w:shd w:val="nil" w:color="auto" w:fill="auto"/>
                <w:rtl w:val="0"/>
                <w:lang w:val="zh-TW" w:eastAsia="zh-TW"/>
              </w:rPr>
              <w:t>的目標無法如期達成，拖延減煤、減碳速度。而各候選人所提出的</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年再生能源佔比達到</w:t>
            </w:r>
            <w:r>
              <w:rPr>
                <w:rStyle w:val="無"/>
                <w:rFonts w:ascii="Arial Unicode MS" w:hAnsi="Arial Unicode MS"/>
                <w:sz w:val="20"/>
                <w:szCs w:val="20"/>
                <w:shd w:val="nil" w:color="auto" w:fill="auto"/>
                <w:rtl w:val="0"/>
                <w:lang w:val="zh-TW" w:eastAsia="zh-TW"/>
              </w:rPr>
              <w:t>27%~30%</w:t>
            </w:r>
            <w:r>
              <w:rPr>
                <w:rStyle w:val="無"/>
                <w:rFonts w:eastAsia="Arial Unicode MS" w:hint="eastAsia"/>
                <w:sz w:val="20"/>
                <w:szCs w:val="20"/>
                <w:shd w:val="nil" w:color="auto" w:fill="auto"/>
                <w:rtl w:val="0"/>
                <w:lang w:val="zh-TW" w:eastAsia="zh-TW"/>
              </w:rPr>
              <w:t>的目標，則需真切面對現行風力與光電所發生爭議，提出解決機制，方能達成目標。</w:t>
            </w:r>
          </w:p>
        </w:tc>
      </w:tr>
      <w:tr>
        <w:tblPrEx>
          <w:shd w:val="clear" w:color="auto" w:fill="cadfff"/>
        </w:tblPrEx>
        <w:trPr>
          <w:trHeight w:val="675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b w:val="1"/>
                <w:bCs w:val="1"/>
                <w:sz w:val="24"/>
                <w:szCs w:val="24"/>
                <w:shd w:val="nil" w:color="auto" w:fill="auto"/>
              </w:rPr>
            </w:pPr>
            <w:r>
              <w:rPr>
                <w:rStyle w:val="無"/>
                <w:rFonts w:eastAsia="Arial Unicode MS" w:hint="eastAsia"/>
                <w:b w:val="0"/>
                <w:bCs w:val="0"/>
                <w:sz w:val="24"/>
                <w:szCs w:val="24"/>
                <w:shd w:val="nil" w:color="auto" w:fill="auto"/>
                <w:rtl w:val="0"/>
                <w:lang w:val="zh-TW" w:eastAsia="zh-TW"/>
              </w:rPr>
              <w:t>再生能源發展</w:t>
            </w:r>
          </w:p>
          <w:p>
            <w:pPr>
              <w:pStyle w:val="內文 A"/>
              <w:widowControl w:val="0"/>
              <w:bidi w:val="0"/>
              <w:spacing w:line="276" w:lineRule="auto"/>
              <w:ind w:left="0" w:right="0" w:firstLine="0"/>
              <w:jc w:val="left"/>
              <w:rPr>
                <w:rtl w:val="0"/>
              </w:rPr>
            </w:pPr>
            <w:r>
              <w:rPr>
                <w:rStyle w:val="無"/>
                <w:rFonts w:eastAsia="Arial Unicode MS" w:hint="eastAsia"/>
                <w:sz w:val="24"/>
                <w:szCs w:val="24"/>
                <w:shd w:val="nil" w:color="auto" w:fill="auto"/>
                <w:rtl w:val="0"/>
                <w:lang w:val="zh-TW" w:eastAsia="zh-TW"/>
              </w:rPr>
              <w:t>（含生態與社會兼容機制）</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啟動第二次能源轉型，建構智慧共享的綠能戰略：</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 xml:space="preserve">(1). </w:t>
            </w:r>
            <w:r>
              <w:rPr>
                <w:rStyle w:val="無"/>
                <w:rFonts w:eastAsia="Arial Unicode MS" w:hint="eastAsia"/>
                <w:sz w:val="20"/>
                <w:szCs w:val="20"/>
                <w:shd w:val="nil" w:color="auto" w:fill="auto"/>
                <w:rtl w:val="0"/>
                <w:lang w:val="zh-TW" w:eastAsia="zh-TW"/>
              </w:rPr>
              <w:t>佈局前瞻能源</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sz w:val="20"/>
                <w:szCs w:val="20"/>
                <w:shd w:val="nil" w:color="auto" w:fill="auto"/>
                <w:rtl w:val="0"/>
                <w:lang w:val="zh-TW" w:eastAsia="zh-TW"/>
              </w:rPr>
              <w:t>:</w:t>
            </w:r>
          </w:p>
          <w:p>
            <w:pPr>
              <w:pStyle w:val="內文 A"/>
              <w:widowControl w:val="0"/>
              <w:bidi w:val="0"/>
              <w:spacing w:line="276" w:lineRule="auto"/>
              <w:ind w:left="0" w:right="0" w:firstLine="0"/>
              <w:jc w:val="left"/>
              <w:rPr>
                <w:rtl w:val="0"/>
              </w:rPr>
            </w:pPr>
            <w:r>
              <w:rPr>
                <w:rStyle w:val="無"/>
                <w:rFonts w:eastAsia="Arial Unicode MS" w:hint="eastAsia"/>
                <w:sz w:val="20"/>
                <w:szCs w:val="20"/>
                <w:shd w:val="nil" w:color="auto" w:fill="auto"/>
                <w:rtl w:val="0"/>
                <w:lang w:val="zh-TW" w:eastAsia="zh-TW"/>
              </w:rPr>
              <w:t>除傳統太陽光電、風力發電，加速地熱發電、氫能、生質能、海洋能等前瞻再生能源的開發。</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、穩健務實持續增加再生能源發電，作為台灣未來主要的能源支柱。</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、積極發展深層地熱、海洋洋流等。</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其臉書另有提到將成立「國土規劃研究院」，規劃未來</w:t>
            </w:r>
            <w:r>
              <w:rPr>
                <w:rStyle w:val="無"/>
                <w:rFonts w:ascii="Arial Unicode MS" w:hAnsi="Arial Unicode MS"/>
                <w:sz w:val="20"/>
                <w:szCs w:val="20"/>
                <w:shd w:val="nil" w:color="auto" w:fill="auto"/>
                <w:rtl w:val="0"/>
                <w:lang w:val="zh-TW" w:eastAsia="zh-TW"/>
              </w:rPr>
              <w:t>50</w:t>
            </w:r>
            <w:r>
              <w:rPr>
                <w:rStyle w:val="無"/>
                <w:rFonts w:eastAsia="Arial Unicode MS" w:hint="eastAsia"/>
                <w:sz w:val="20"/>
                <w:szCs w:val="20"/>
                <w:shd w:val="nil" w:color="auto" w:fill="auto"/>
                <w:rtl w:val="0"/>
                <w:lang w:val="zh-TW" w:eastAsia="zh-TW"/>
              </w:rPr>
              <w:t>年國土使用，強化環境影響評估作業審查及落實政府政策環境影響評估的規範。此可能會與大面積的再生能源佈建及影響評估有關。</w:t>
            </w:r>
            <w:r>
              <w:rPr>
                <w:rStyle w:val="無"/>
                <w:rFonts w:ascii="Arial Unicode MS" w:hAnsi="Arial Unicode MS"/>
                <w:sz w:val="20"/>
                <w:szCs w:val="20"/>
                <w:shd w:val="nil" w:color="auto" w:fill="auto"/>
                <w:rtl w:val="0"/>
                <w:lang w:val="zh-TW" w:eastAsia="zh-TW"/>
              </w:rPr>
              <w:t>)</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、堅守環境友善原則</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著重需地性較低的太陽能、地熱、氫能、小水力、生質能</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地熱、氫能可發展為穩定基載</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小水力系統確保偏遠區域用電。</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積極推動每單位發電土地面積較低的都會區屋頂太陽光電，提高公眾對屋頂型太陽能的認識，鼓勵加入產電，作為原有的大電廠集中營運模式以外的分散式能源，除了可以提高再生能源比例，也可達到產電在地化，提高電力供應彈性與韌性。</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、政府應輔導企業使用再生能源：自行設置再生能源發電設備或儲能設備，建立循環經濟「全民風光」的能源轉型利益分配模式。</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4</w:t>
            </w:r>
            <w:r>
              <w:rPr>
                <w:rStyle w:val="無"/>
                <w:rFonts w:eastAsia="Arial Unicode MS" w:hint="eastAsia"/>
                <w:sz w:val="20"/>
                <w:szCs w:val="20"/>
                <w:shd w:val="nil" w:color="auto" w:fill="auto"/>
                <w:rtl w:val="0"/>
                <w:lang w:val="zh-TW" w:eastAsia="zh-TW"/>
              </w:rPr>
              <w:t>、提出全民共享能源轉型利益模式，可由政府發行能源公債、成立中央及地方電力基金，未來即將收取的碳費、乃至於碳稅的公正轉型用途，帶動中小企業和民眾參與分散式能源社區的交易活動，把利益留在當地。</w:t>
            </w:r>
          </w:p>
        </w:tc>
      </w:tr>
      <w:tr>
        <w:tblPrEx>
          <w:shd w:val="clear" w:color="auto" w:fill="cadfff"/>
        </w:tblPrEx>
        <w:trPr>
          <w:trHeight w:val="3085"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ascii="Arial Unicode MS" w:hAnsi="Arial Unicode MS"/>
                <w:sz w:val="20"/>
                <w:szCs w:val="20"/>
                <w:shd w:val="nil" w:color="auto" w:fill="auto"/>
                <w:rtl w:val="0"/>
                <w:lang w:val="zh-TW" w:eastAsia="zh-TW"/>
              </w:rPr>
              <w:t>2016</w:t>
            </w:r>
            <w:r>
              <w:rPr>
                <w:rStyle w:val="無"/>
                <w:rFonts w:eastAsia="Arial Unicode MS" w:hint="eastAsia"/>
                <w:sz w:val="20"/>
                <w:szCs w:val="20"/>
                <w:shd w:val="nil" w:color="auto" w:fill="auto"/>
                <w:rtl w:val="0"/>
                <w:lang w:val="zh-TW" w:eastAsia="zh-TW"/>
              </w:rPr>
              <w:t>年啟動的能源轉型政策，有助於真正加速再生能源的發展。但第二次能源轉型的根本，仍須面對這期間各項再生能源發展時的爭議，提出解決機制。</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若欲達到</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年再生能源佔比</w:t>
            </w:r>
            <w:r>
              <w:rPr>
                <w:rStyle w:val="無"/>
                <w:rFonts w:ascii="Arial Unicode MS" w:hAnsi="Arial Unicode MS"/>
                <w:sz w:val="20"/>
                <w:szCs w:val="20"/>
                <w:shd w:val="nil" w:color="auto" w:fill="auto"/>
                <w:rtl w:val="0"/>
                <w:lang w:val="zh-TW" w:eastAsia="zh-TW"/>
              </w:rPr>
              <w:t>27%</w:t>
            </w:r>
            <w:r>
              <w:rPr>
                <w:rStyle w:val="無"/>
                <w:rFonts w:eastAsia="Arial Unicode MS" w:hint="eastAsia"/>
                <w:sz w:val="20"/>
                <w:szCs w:val="20"/>
                <w:shd w:val="nil" w:color="auto" w:fill="auto"/>
                <w:rtl w:val="0"/>
                <w:lang w:val="zh-TW" w:eastAsia="zh-TW"/>
              </w:rPr>
              <w:t>時，仍須務實面對需大量增加風力與光電，而非洋流發電此尚未有商業化期程選項。</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提出的四項對策，前三項為當前執行中的政策，包括屋頂光電設置義務、用電大戶條款等。政見中僅是原則性描述，未見該如何補足當前政策不足。</w:t>
            </w:r>
          </w:p>
        </w:tc>
      </w:tr>
      <w:tr>
        <w:tblPrEx>
          <w:shd w:val="clear" w:color="auto" w:fill="cadfff"/>
        </w:tblPrEx>
        <w:trPr>
          <w:trHeight w:val="8038"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多元綠能無法迴避光電與風電既存挑戰－三位候選人均強調在風力與光電以外，將發展前瞻、多元綠能。惟全球與台灣，在未來十年間最主要的再生能源發展仍是以光電與風電為主，應就如何克服其發展瓶頸，提出因應對策。</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、面對再生能源發展的四大關鍵課題－台灣氣候行動網絡歸納當前台灣再生能源發展的四大課題為下</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sz w:val="20"/>
                <w:szCs w:val="20"/>
                <w:shd w:val="nil" w:color="auto" w:fill="auto"/>
                <w:rtl w:val="0"/>
                <w:lang w:val="zh-TW" w:eastAsia="zh-TW"/>
              </w:rPr>
              <w:t xml:space="preserve">A. </w:t>
            </w:r>
            <w:r>
              <w:rPr>
                <w:rStyle w:val="無"/>
                <w:rFonts w:eastAsia="Arial Unicode MS" w:hint="eastAsia"/>
                <w:sz w:val="20"/>
                <w:szCs w:val="20"/>
                <w:shd w:val="nil" w:color="auto" w:fill="auto"/>
                <w:rtl w:val="0"/>
                <w:lang w:val="zh-TW" w:eastAsia="zh-TW"/>
              </w:rPr>
              <w:t>光電開發造成全國各地空間競合、農地尋租現象，缺乏空間選址框架，</w:t>
            </w:r>
            <w:r>
              <w:rPr>
                <w:rStyle w:val="無"/>
                <w:rFonts w:ascii="Arial Unicode MS" w:hAnsi="Arial Unicode MS"/>
                <w:sz w:val="20"/>
                <w:szCs w:val="20"/>
                <w:shd w:val="nil" w:color="auto" w:fill="auto"/>
                <w:rtl w:val="0"/>
                <w:lang w:val="zh-TW" w:eastAsia="zh-TW"/>
              </w:rPr>
              <w:t xml:space="preserve">B. </w:t>
            </w:r>
            <w:r>
              <w:rPr>
                <w:rStyle w:val="無"/>
                <w:rFonts w:eastAsia="Arial Unicode MS" w:hint="eastAsia"/>
                <w:sz w:val="20"/>
                <w:szCs w:val="20"/>
                <w:shd w:val="nil" w:color="auto" w:fill="auto"/>
                <w:rtl w:val="0"/>
                <w:lang w:val="zh-TW" w:eastAsia="zh-TW"/>
              </w:rPr>
              <w:t>中央與地方欠缺協調合作機制，</w:t>
            </w:r>
            <w:r>
              <w:rPr>
                <w:rStyle w:val="無"/>
                <w:rFonts w:ascii="Arial Unicode MS" w:hAnsi="Arial Unicode MS"/>
                <w:sz w:val="20"/>
                <w:szCs w:val="20"/>
                <w:shd w:val="nil" w:color="auto" w:fill="auto"/>
                <w:rtl w:val="0"/>
                <w:lang w:val="zh-TW" w:eastAsia="zh-TW"/>
              </w:rPr>
              <w:t xml:space="preserve">C. </w:t>
            </w:r>
            <w:r>
              <w:rPr>
                <w:rStyle w:val="無"/>
                <w:rFonts w:eastAsia="Arial Unicode MS" w:hint="eastAsia"/>
                <w:sz w:val="20"/>
                <w:szCs w:val="20"/>
                <w:shd w:val="nil" w:color="auto" w:fill="auto"/>
                <w:rtl w:val="0"/>
                <w:lang w:val="zh-TW" w:eastAsia="zh-TW"/>
              </w:rPr>
              <w:t>商業案場無助於地方整體的永續發展，</w:t>
            </w:r>
            <w:r>
              <w:rPr>
                <w:rStyle w:val="無"/>
                <w:rFonts w:ascii="Arial Unicode MS" w:hAnsi="Arial Unicode MS"/>
                <w:sz w:val="20"/>
                <w:szCs w:val="20"/>
                <w:shd w:val="nil" w:color="auto" w:fill="auto"/>
                <w:rtl w:val="0"/>
                <w:lang w:val="zh-TW" w:eastAsia="zh-TW"/>
              </w:rPr>
              <w:t xml:space="preserve">D. </w:t>
            </w:r>
            <w:r>
              <w:rPr>
                <w:rStyle w:val="無"/>
                <w:rFonts w:eastAsia="Arial Unicode MS" w:hint="eastAsia"/>
                <w:sz w:val="20"/>
                <w:szCs w:val="20"/>
                <w:shd w:val="nil" w:color="auto" w:fill="auto"/>
                <w:rtl w:val="0"/>
                <w:lang w:val="zh-TW" w:eastAsia="zh-TW"/>
              </w:rPr>
              <w:t>制度未能有效保障家戶小型綠能、社區能源的發展空間。</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、散播再生能源假訊息無助綠能發展－在野黨多次援引假訊息批評台灣再生能源發展，諸如躉購費率是暴利、漁電共生導致大量魚群暴斃等。但其再生能源發展目標與執政黨相似，亦即其</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年光電與風電裝置量，將與當前政策相仿。若以大量假訊息作為能源政策研擬基礎，不利於政策目標達成。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因此提出下列三點呼籲：</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、訂定屋頂光電優先加速計畫</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再生能源發展條例修法後，雖已訂定新建築屋頂光電設置義務，但由於子法限縮適用建築類型，將使其無法發揮預期效力。故在此呼籲政府應統整針對既有建築與新建建築的屋頂光電推動策略，包括費率設計、申請許可過程等規範。</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、以提高「社會接受度」為目標的地面型光電發展計畫</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經濟部門應負起綠能整體空間規劃佈局，儘速推出「再生能源用地白皮書」，建立綠能開發的規劃管理模式，確保綠能開發顧及在地的多元價值。農業部跟經濟部攜手規劃「農業綠能示範區」，宣示透過容許光電有條件設置，提升整個區域內的農業永續與農民生活的福祉。</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、離岸風電選擇應納入環境與社會議題</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離岸風電遴選應將「環境及社會承諾事項」納入評選項目。從利害關係人議合與促進永續發展兩個面向，來評估開發業者及其合作團隊，在規劃、興建、運轉期間落實與其他海域使用者共存之承諾。加強資訊公開與知情權保障、制訂漁業影響減輕與共存方案、精進環境友善之技術、監測與評估生物與漁業資源的長期變動、推動海洋及海岸生態的保育與復育行動等。</w:t>
            </w:r>
          </w:p>
        </w:tc>
      </w:tr>
      <w:tr>
        <w:tblPrEx>
          <w:shd w:val="clear" w:color="auto" w:fill="cadfff"/>
        </w:tblPrEx>
        <w:trPr>
          <w:trHeight w:val="526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b w:val="1"/>
                <w:bCs w:val="1"/>
                <w:sz w:val="24"/>
                <w:szCs w:val="24"/>
                <w:shd w:val="nil" w:color="auto" w:fill="auto"/>
              </w:rPr>
            </w:pPr>
            <w:r>
              <w:rPr>
                <w:rStyle w:val="無"/>
                <w:rFonts w:eastAsia="Arial Unicode MS" w:hint="eastAsia"/>
                <w:b w:val="0"/>
                <w:bCs w:val="0"/>
                <w:sz w:val="24"/>
                <w:szCs w:val="24"/>
                <w:shd w:val="nil" w:color="auto" w:fill="auto"/>
                <w:rtl w:val="0"/>
                <w:lang w:val="zh-TW" w:eastAsia="zh-TW"/>
              </w:rPr>
              <w:t>產業轉型</w:t>
            </w:r>
          </w:p>
          <w:p>
            <w:pPr>
              <w:pStyle w:val="內文 A"/>
              <w:widowControl w:val="0"/>
              <w:bidi w:val="0"/>
              <w:spacing w:line="276" w:lineRule="auto"/>
              <w:ind w:left="0" w:right="0" w:firstLine="0"/>
              <w:jc w:val="left"/>
              <w:rPr>
                <w:rtl w:val="0"/>
              </w:rPr>
            </w:pP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ffffff"/>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我國製造業排碳量占全國總排放的一半以上，然而製造業碳排量自</w:t>
            </w:r>
            <w:r>
              <w:rPr>
                <w:rStyle w:val="無"/>
                <w:rFonts w:ascii="Arial Unicode MS" w:hAnsi="Arial Unicode MS"/>
                <w:sz w:val="20"/>
                <w:szCs w:val="20"/>
                <w:shd w:val="nil" w:color="auto" w:fill="auto"/>
                <w:rtl w:val="0"/>
                <w:lang w:val="zh-TW" w:eastAsia="zh-TW"/>
              </w:rPr>
              <w:t>2005</w:t>
            </w:r>
            <w:r>
              <w:rPr>
                <w:rStyle w:val="無"/>
                <w:rFonts w:eastAsia="Arial Unicode MS" w:hint="eastAsia"/>
                <w:sz w:val="20"/>
                <w:szCs w:val="20"/>
                <w:shd w:val="nil" w:color="auto" w:fill="auto"/>
                <w:rtl w:val="0"/>
                <w:lang w:val="zh-TW" w:eastAsia="zh-TW"/>
              </w:rPr>
              <w:t>年起並未顯著下降。因此，若要達到</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減碳目標乃至於</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淨零，政府勢必要推動產業低碳轉型。產業「低碳轉型」是考量到全球與台灣環境承載力的情況下，調整國內的產業結構、製程技術、需求供給等，縮減高碳排、高污染的產業及生產方式，轉型至低碳排、低污染的產業及資源循環模式，同時保障勞工能順利轉型至低碳產業。在前述思維下，新政府需提出「整合性」的產業轉型上位戰略，納入可協助重工業深度減碳的氫能與碳捕捉再利用及封存的工業應用規劃、能資源節約、綠色金融、公正轉型等面向，以及相對應的政策工具，而非僅提出節能、碳盤查輔導、企業</w:t>
            </w:r>
            <w:r>
              <w:rPr>
                <w:rStyle w:val="無"/>
                <w:rFonts w:ascii="Arial Unicode MS" w:hAnsi="Arial Unicode MS"/>
                <w:sz w:val="20"/>
                <w:szCs w:val="20"/>
                <w:shd w:val="nil" w:color="auto" w:fill="auto"/>
                <w:rtl w:val="0"/>
                <w:lang w:val="zh-TW" w:eastAsia="zh-TW"/>
              </w:rPr>
              <w:t>ESG</w:t>
            </w:r>
            <w:r>
              <w:rPr>
                <w:rStyle w:val="無"/>
                <w:rFonts w:eastAsia="Arial Unicode MS" w:hint="eastAsia"/>
                <w:sz w:val="20"/>
                <w:szCs w:val="20"/>
                <w:shd w:val="nil" w:color="auto" w:fill="auto"/>
                <w:rtl w:val="0"/>
                <w:lang w:val="zh-TW" w:eastAsia="zh-TW"/>
              </w:rPr>
              <w:t>揭露等各項單一措施，欠缺協調整合。</w:t>
            </w:r>
          </w:p>
        </w:tc>
      </w:tr>
      <w:tr>
        <w:tblPrEx>
          <w:shd w:val="clear" w:color="auto" w:fill="cadfff"/>
        </w:tblPrEx>
        <w:trPr>
          <w:trHeight w:val="10292"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產業轉型（含產業節能）</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、打造節能產業，邁向「系統性節能」</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成立能源技術服務中心，協助產業深度節能的輔導、稽核及管考</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擴大能源資訊管理系統</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sz w:val="20"/>
                <w:szCs w:val="20"/>
                <w:shd w:val="nil" w:color="auto" w:fill="auto"/>
                <w:rtl w:val="0"/>
                <w:lang w:val="zh-TW" w:eastAsia="zh-TW"/>
              </w:rPr>
              <w:t xml:space="preserve">(EMIS) </w:t>
            </w:r>
            <w:r>
              <w:rPr>
                <w:rStyle w:val="無"/>
                <w:rFonts w:eastAsia="Arial Unicode MS" w:hint="eastAsia"/>
                <w:sz w:val="20"/>
                <w:szCs w:val="20"/>
                <w:shd w:val="nil" w:color="auto" w:fill="auto"/>
                <w:rtl w:val="0"/>
                <w:lang w:val="zh-TW" w:eastAsia="zh-TW"/>
              </w:rPr>
              <w:t>佈建</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擴大「綠色金融」與「信保基金」方案，引導資金投入節能產業</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計畫</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接軌國際能效標準，擴大產業投資的自設備、技術的稅賦抵減、老舊設備汰換等。</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、數位與綠色產業雙軸轉型</w:t>
            </w:r>
            <w:r>
              <w:rPr>
                <w:rStyle w:val="無"/>
                <w:rFonts w:ascii="Arial Unicode MS" w:hAnsi="Arial Unicode MS"/>
                <w:sz w:val="20"/>
                <w:szCs w:val="20"/>
                <w:shd w:val="nil" w:color="auto" w:fill="auto"/>
                <w:rtl w:val="0"/>
                <w:lang w:val="zh-TW" w:eastAsia="zh-TW"/>
              </w:rPr>
              <w:t xml:space="preserve">: 1). </w:t>
            </w:r>
            <w:r>
              <w:rPr>
                <w:rStyle w:val="無"/>
                <w:rFonts w:eastAsia="Arial Unicode MS" w:hint="eastAsia"/>
                <w:sz w:val="20"/>
                <w:szCs w:val="20"/>
                <w:shd w:val="nil" w:color="auto" w:fill="auto"/>
                <w:rtl w:val="0"/>
                <w:lang w:val="zh-TW" w:eastAsia="zh-TW"/>
              </w:rPr>
              <w:t>成立淨零創新科技平台，連結前瞻科技與新創產業</w:t>
            </w:r>
            <w:r>
              <w:rPr>
                <w:rStyle w:val="無"/>
                <w:rFonts w:ascii="Arial Unicode MS" w:hAnsi="Arial Unicode MS"/>
                <w:sz w:val="20"/>
                <w:szCs w:val="20"/>
                <w:shd w:val="nil" w:color="auto" w:fill="auto"/>
                <w:rtl w:val="0"/>
                <w:lang w:val="zh-TW" w:eastAsia="zh-TW"/>
              </w:rPr>
              <w:t xml:space="preserve">; 2). </w:t>
            </w:r>
            <w:r>
              <w:rPr>
                <w:rStyle w:val="無"/>
                <w:rFonts w:eastAsia="Arial Unicode MS" w:hint="eastAsia"/>
                <w:sz w:val="20"/>
                <w:szCs w:val="20"/>
                <w:shd w:val="nil" w:color="auto" w:fill="auto"/>
                <w:rtl w:val="0"/>
                <w:lang w:val="zh-TW" w:eastAsia="zh-TW"/>
              </w:rPr>
              <w:t>建構智慧能源，使能源的運用與儲存智慧化</w:t>
            </w:r>
            <w:r>
              <w:rPr>
                <w:rStyle w:val="無"/>
                <w:rFonts w:ascii="Arial Unicode MS" w:hAnsi="Arial Unicode MS"/>
                <w:sz w:val="20"/>
                <w:szCs w:val="20"/>
                <w:shd w:val="nil" w:color="auto" w:fill="auto"/>
                <w:rtl w:val="0"/>
                <w:lang w:val="zh-TW" w:eastAsia="zh-TW"/>
              </w:rPr>
              <w:t>; 3).</w:t>
            </w:r>
            <w:r>
              <w:rPr>
                <w:rStyle w:val="無"/>
                <w:rFonts w:eastAsia="Arial Unicode MS" w:hint="eastAsia"/>
                <w:sz w:val="20"/>
                <w:szCs w:val="20"/>
                <w:shd w:val="nil" w:color="auto" w:fill="auto"/>
                <w:rtl w:val="0"/>
                <w:lang w:val="zh-TW" w:eastAsia="zh-TW"/>
              </w:rPr>
              <w:t>推動綠色製造，減少排碳與耗能</w:t>
            </w:r>
            <w:r>
              <w:rPr>
                <w:rStyle w:val="無"/>
                <w:rFonts w:ascii="Arial Unicode MS" w:hAnsi="Arial Unicode MS"/>
                <w:sz w:val="20"/>
                <w:szCs w:val="20"/>
                <w:shd w:val="nil" w:color="auto" w:fill="auto"/>
                <w:rtl w:val="0"/>
                <w:lang w:val="zh-TW" w:eastAsia="zh-TW"/>
              </w:rPr>
              <w:t xml:space="preserve">; 4). </w:t>
            </w:r>
            <w:r>
              <w:rPr>
                <w:rStyle w:val="無"/>
                <w:rFonts w:eastAsia="Arial Unicode MS" w:hint="eastAsia"/>
                <w:sz w:val="20"/>
                <w:szCs w:val="20"/>
                <w:shd w:val="nil" w:color="auto" w:fill="auto"/>
                <w:rtl w:val="0"/>
                <w:lang w:val="zh-TW" w:eastAsia="zh-TW"/>
              </w:rPr>
              <w:t>建立循環經濟生態系</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、建立本土綠色金融、完善碳排放資訊、強化永續金融業務等，使綠色金融成為淨零轉型的助力。</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4</w:t>
            </w:r>
            <w:r>
              <w:rPr>
                <w:rStyle w:val="無"/>
                <w:rFonts w:eastAsia="Arial Unicode MS" w:hint="eastAsia"/>
                <w:sz w:val="20"/>
                <w:szCs w:val="20"/>
                <w:shd w:val="nil" w:color="auto" w:fill="auto"/>
                <w:rtl w:val="0"/>
                <w:lang w:val="zh-TW" w:eastAsia="zh-TW"/>
              </w:rPr>
              <w:t>、建立各產業技術服務團</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輔導企業碳盤查，以及相關的碳定價與淨零技術諮詢服務。</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5</w:t>
            </w:r>
            <w:r>
              <w:rPr>
                <w:rStyle w:val="無"/>
                <w:rFonts w:eastAsia="Arial Unicode MS" w:hint="eastAsia"/>
                <w:sz w:val="20"/>
                <w:szCs w:val="20"/>
                <w:shd w:val="nil" w:color="auto" w:fill="auto"/>
                <w:rtl w:val="0"/>
                <w:lang w:val="zh-TW" w:eastAsia="zh-TW"/>
              </w:rPr>
              <w:t>、定期公布行動指引</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針對不同產業、規模的廠商，定期公布淨零轉型前瞻行動指引。</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、輔導企業總體減碳升級方案：由政府提供多元輔導廠商方案，包括設置企業碳健檢聯合服務中心、主動盤查中小型企業溫室氣體排放量業者、免費節能診斷等服務，實現「碳排少了，訂單來了」。</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、加速推動清淨與循環型生產程序，建立「資源循環零廢棄」的產業模式，實現</w:t>
            </w:r>
            <w:r>
              <w:rPr>
                <w:rStyle w:val="無"/>
                <w:rFonts w:ascii="Arial Unicode MS" w:hAnsi="Arial Unicode MS"/>
                <w:sz w:val="20"/>
                <w:szCs w:val="20"/>
                <w:shd w:val="nil" w:color="auto" w:fill="auto"/>
                <w:rtl w:val="0"/>
                <w:lang w:val="zh-TW" w:eastAsia="zh-TW"/>
              </w:rPr>
              <w:t xml:space="preserve">2030~2050 </w:t>
            </w:r>
            <w:r>
              <w:rPr>
                <w:rStyle w:val="無"/>
                <w:rFonts w:eastAsia="Arial Unicode MS" w:hint="eastAsia"/>
                <w:sz w:val="20"/>
                <w:szCs w:val="20"/>
                <w:shd w:val="nil" w:color="auto" w:fill="auto"/>
                <w:rtl w:val="0"/>
                <w:lang w:val="zh-TW" w:eastAsia="zh-TW"/>
              </w:rPr>
              <w:t>淨零及零污染無毒環境。</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、加速推動溫室氣體盤查與查證</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sz w:val="20"/>
                <w:szCs w:val="20"/>
                <w:shd w:val="nil" w:color="auto" w:fill="auto"/>
                <w:rtl w:val="0"/>
                <w:lang w:val="zh-TW" w:eastAsia="zh-TW"/>
              </w:rPr>
              <w:t>(2027</w:t>
            </w:r>
            <w:r>
              <w:rPr>
                <w:rStyle w:val="無"/>
                <w:rFonts w:eastAsia="Arial Unicode MS" w:hint="eastAsia"/>
                <w:sz w:val="20"/>
                <w:szCs w:val="20"/>
                <w:shd w:val="nil" w:color="auto" w:fill="auto"/>
                <w:rtl w:val="0"/>
                <w:lang w:val="zh-TW" w:eastAsia="zh-TW"/>
              </w:rPr>
              <w:t>完成上市櫃公司</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，且擴大盤查至公開發行公司＆金融機構之中小企業客戶</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、提高公私</w:t>
            </w:r>
            <w:r>
              <w:rPr>
                <w:rStyle w:val="無"/>
                <w:rFonts w:ascii="Arial Unicode MS" w:hAnsi="Arial Unicode MS"/>
                <w:sz w:val="20"/>
                <w:szCs w:val="20"/>
                <w:shd w:val="nil" w:color="auto" w:fill="auto"/>
                <w:rtl w:val="0"/>
                <w:lang w:val="zh-TW" w:eastAsia="zh-TW"/>
              </w:rPr>
              <w:t>ESG</w:t>
            </w:r>
            <w:r>
              <w:rPr>
                <w:rStyle w:val="無"/>
                <w:rFonts w:eastAsia="Arial Unicode MS" w:hint="eastAsia"/>
                <w:sz w:val="20"/>
                <w:szCs w:val="20"/>
                <w:shd w:val="nil" w:color="auto" w:fill="auto"/>
                <w:rtl w:val="0"/>
                <w:lang w:val="zh-TW" w:eastAsia="zh-TW"/>
              </w:rPr>
              <w:t>揭露</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政府基金揭露</w:t>
            </w:r>
            <w:r>
              <w:rPr>
                <w:rStyle w:val="無"/>
                <w:rFonts w:ascii="Arial Unicode MS" w:hAnsi="Arial Unicode MS"/>
                <w:sz w:val="20"/>
                <w:szCs w:val="20"/>
                <w:shd w:val="nil" w:color="auto" w:fill="auto"/>
                <w:rtl w:val="0"/>
                <w:lang w:val="zh-TW" w:eastAsia="zh-TW"/>
              </w:rPr>
              <w:t>ESG</w:t>
            </w:r>
            <w:r>
              <w:rPr>
                <w:rStyle w:val="無"/>
                <w:rFonts w:eastAsia="Arial Unicode MS" w:hint="eastAsia"/>
                <w:sz w:val="20"/>
                <w:szCs w:val="20"/>
                <w:shd w:val="nil" w:color="auto" w:fill="auto"/>
                <w:rtl w:val="0"/>
                <w:lang w:val="zh-TW" w:eastAsia="zh-TW"/>
              </w:rPr>
              <w:t>投資準則</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強化查核上市公司</w:t>
            </w:r>
            <w:r>
              <w:rPr>
                <w:rStyle w:val="無"/>
                <w:rFonts w:ascii="Arial Unicode MS" w:hAnsi="Arial Unicode MS"/>
                <w:sz w:val="20"/>
                <w:szCs w:val="20"/>
                <w:shd w:val="nil" w:color="auto" w:fill="auto"/>
                <w:rtl w:val="0"/>
                <w:lang w:val="zh-TW" w:eastAsia="zh-TW"/>
              </w:rPr>
              <w:t>ESG</w:t>
            </w:r>
            <w:r>
              <w:rPr>
                <w:rStyle w:val="無"/>
                <w:rFonts w:eastAsia="Arial Unicode MS" w:hint="eastAsia"/>
                <w:sz w:val="20"/>
                <w:szCs w:val="20"/>
                <w:shd w:val="nil" w:color="auto" w:fill="auto"/>
                <w:rtl w:val="0"/>
                <w:lang w:val="zh-TW" w:eastAsia="zh-TW"/>
              </w:rPr>
              <w:t>資訊，防止漂綠</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、以碳稅收入為財源成立「氣候永續轉型基金」，支應未來負碳技術研發和應用、協助轉型過程中遭到衝擊的中小型企業等。</w:t>
            </w:r>
          </w:p>
        </w:tc>
      </w:tr>
      <w:tr>
        <w:tblPrEx>
          <w:shd w:val="clear" w:color="auto" w:fill="cadfff"/>
        </w:tblPrEx>
        <w:trPr>
          <w:trHeight w:val="4465"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、基本上延續蔡政府提出的淨零政策與</w:t>
            </w:r>
            <w:r>
              <w:rPr>
                <w:rStyle w:val="無"/>
                <w:rFonts w:ascii="Arial Unicode MS" w:hAnsi="Arial Unicode MS"/>
                <w:sz w:val="20"/>
                <w:szCs w:val="20"/>
                <w:shd w:val="nil" w:color="auto" w:fill="auto"/>
                <w:rtl w:val="0"/>
                <w:lang w:val="zh-TW" w:eastAsia="zh-TW"/>
              </w:rPr>
              <w:t>12</w:t>
            </w:r>
            <w:r>
              <w:rPr>
                <w:rStyle w:val="無"/>
                <w:rFonts w:eastAsia="Arial Unicode MS" w:hint="eastAsia"/>
                <w:sz w:val="20"/>
                <w:szCs w:val="20"/>
                <w:shd w:val="nil" w:color="auto" w:fill="auto"/>
                <w:rtl w:val="0"/>
                <w:lang w:val="zh-TW" w:eastAsia="zh-TW"/>
              </w:rPr>
              <w:t>項關鍵戰略，應再提出整合性的產業轉型戰略以及更積極創新的政策工具，方能加速產業轉型。</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、第</w:t>
            </w:r>
            <w:r>
              <w:rPr>
                <w:rStyle w:val="無"/>
                <w:rFonts w:ascii="Arial Unicode MS" w:hAnsi="Arial Unicode MS"/>
                <w:sz w:val="20"/>
                <w:szCs w:val="20"/>
                <w:shd w:val="nil" w:color="auto" w:fill="auto"/>
                <w:rtl w:val="0"/>
                <w:lang w:val="zh-TW" w:eastAsia="zh-TW"/>
              </w:rPr>
              <w:t>5</w:t>
            </w:r>
            <w:r>
              <w:rPr>
                <w:rStyle w:val="無"/>
                <w:rFonts w:eastAsia="Arial Unicode MS" w:hint="eastAsia"/>
                <w:sz w:val="20"/>
                <w:szCs w:val="20"/>
                <w:shd w:val="nil" w:color="auto" w:fill="auto"/>
                <w:rtl w:val="0"/>
                <w:lang w:val="zh-TW" w:eastAsia="zh-TW"/>
              </w:rPr>
              <w:t>點為新政見，部分回應了公民團體之訴求：「經濟部應公開六大耗能產業的階段減排目標、細部指標、低碳轉型路徑圖與具體進展」。</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整體而言與蔡政府已在執行的各類產業輔導措施差異不大，需再提出完整的產業轉型戰略以及更積極創新的政策工具，方能推動產業轉型。</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、需再提出完整的產業轉型戰略及更積極創新的政策工具，方能加速產業轉型。</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、第</w:t>
            </w: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點為新政見，但欠缺細節，後續應完整說明如何辨識受衝擊者、協助措施為何。</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、其他政見多是立基在蔡政府淨零戰略上的改善措施，例如：</w:t>
            </w:r>
            <w:r>
              <w:rPr>
                <w:rStyle w:val="無"/>
                <w:rFonts w:ascii="Arial Unicode MS" w:hAnsi="Arial Unicode MS"/>
                <w:sz w:val="20"/>
                <w:szCs w:val="20"/>
                <w:shd w:val="nil" w:color="auto" w:fill="auto"/>
                <w:rtl w:val="0"/>
                <w:lang w:val="zh-TW" w:eastAsia="zh-TW"/>
              </w:rPr>
              <w:t>2027</w:t>
            </w:r>
            <w:r>
              <w:rPr>
                <w:rStyle w:val="無"/>
                <w:rFonts w:eastAsia="Arial Unicode MS" w:hint="eastAsia"/>
                <w:sz w:val="20"/>
                <w:szCs w:val="20"/>
                <w:shd w:val="nil" w:color="auto" w:fill="auto"/>
                <w:rtl w:val="0"/>
                <w:lang w:val="zh-TW" w:eastAsia="zh-TW"/>
              </w:rPr>
              <w:t>完成「查證」、強化公私</w:t>
            </w:r>
            <w:r>
              <w:rPr>
                <w:rStyle w:val="無"/>
                <w:rFonts w:ascii="Arial Unicode MS" w:hAnsi="Arial Unicode MS"/>
                <w:sz w:val="20"/>
                <w:szCs w:val="20"/>
                <w:shd w:val="nil" w:color="auto" w:fill="auto"/>
                <w:rtl w:val="0"/>
                <w:lang w:val="zh-TW" w:eastAsia="zh-TW"/>
              </w:rPr>
              <w:t>ESG</w:t>
            </w:r>
            <w:r>
              <w:rPr>
                <w:rStyle w:val="無"/>
                <w:rFonts w:eastAsia="Arial Unicode MS" w:hint="eastAsia"/>
                <w:sz w:val="20"/>
                <w:szCs w:val="20"/>
                <w:shd w:val="nil" w:color="auto" w:fill="auto"/>
                <w:rtl w:val="0"/>
                <w:lang w:val="zh-TW" w:eastAsia="zh-TW"/>
              </w:rPr>
              <w:t>揭露資訊。</w:t>
            </w:r>
          </w:p>
        </w:tc>
      </w:tr>
      <w:tr>
        <w:tblPrEx>
          <w:shd w:val="clear" w:color="auto" w:fill="cadfff"/>
        </w:tblPrEx>
        <w:trPr>
          <w:trHeight w:val="8867"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我國製造業碳排總量長年未顯著下降的原因之一為：政府未如先進國家積極地進行跨部門合作，提出一整合性的產業減碳上位戰略，也未對製造業的能源使用或碳排放採取較嚴格的管制，而是多停留在傳統的輔導或獎勵性質的節能措施。而另一原因為：台灣製造業中有一半以上的排碳量來自鋼鐵、水泥、石化等高碳排產業，而這些產業的減碳技術成本目前相對高昂，降低了業者對這些技術投資或採用的意願。因此，歐洲、美國等先進國家的政府近年已針對這部分提出了相關法案或工業淨零戰略，且利用公共採購、碳差價合約等政策工具來驅動高碳排產業減碳。台灣也應學習上述國家的積極作為。</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政府不能停留在傳統的鼓勵產業發展思維，侷限在既有的節能減碳輔導措施。應以「高碳排產業規模計畫性縮減</w:t>
            </w:r>
            <w:r>
              <w:rPr>
                <w:rStyle w:val="無"/>
                <w:rFonts w:ascii="Helvetica Neue" w:hAnsi="Helvetica Neue"/>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」的原則，提出達到</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年淨零目標的台灣產業轉型具體路徑，因此呼籲以下三點：</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 xml:space="preserve">1. </w:t>
            </w:r>
            <w:r>
              <w:rPr>
                <w:rStyle w:val="無"/>
                <w:rFonts w:eastAsia="Arial Unicode MS" w:hint="eastAsia"/>
                <w:sz w:val="20"/>
                <w:szCs w:val="20"/>
                <w:shd w:val="nil" w:color="auto" w:fill="auto"/>
                <w:rtl w:val="0"/>
                <w:lang w:val="zh-TW" w:eastAsia="zh-TW"/>
              </w:rPr>
              <w:t>積極協調整合各部會，提出一上位性的產業低碳轉型戰略，納入明確的監督檢核機制、積極的政策工具及支持機制。</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 xml:space="preserve">2. </w:t>
            </w:r>
            <w:r>
              <w:rPr>
                <w:rStyle w:val="無"/>
                <w:rFonts w:eastAsia="Arial Unicode MS" w:hint="eastAsia"/>
                <w:sz w:val="20"/>
                <w:szCs w:val="20"/>
                <w:shd w:val="nil" w:color="auto" w:fill="auto"/>
                <w:rtl w:val="0"/>
                <w:lang w:val="zh-TW" w:eastAsia="zh-TW"/>
              </w:rPr>
              <w:t>具體說明六大產業（石化、鋼鐵、電子、水泥、紡織、造紙）的階段性減碳目標、轉型路徑，並定期公開進度報告</w:t>
            </w:r>
            <w:r>
              <w:rPr>
                <w:rStyle w:val="無"/>
                <w:rFonts w:ascii="Helvetica Neue" w:hAnsi="Helvetica Neue"/>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 xml:space="preserve">3. </w:t>
            </w:r>
            <w:r>
              <w:rPr>
                <w:rStyle w:val="無"/>
                <w:rFonts w:eastAsia="Arial Unicode MS" w:hint="eastAsia"/>
                <w:sz w:val="20"/>
                <w:szCs w:val="20"/>
                <w:shd w:val="nil" w:color="auto" w:fill="auto"/>
                <w:rtl w:val="0"/>
                <w:lang w:val="zh-TW" w:eastAsia="zh-TW"/>
              </w:rPr>
              <w:t>強化政策工具，追上國際趨勢。例如：可創造綠色需求的「低碳公共工程採購</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」、推動綠色生產的「碳差價合約</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」，以及有助於推動綠色金融</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及後續政策研擬的「擴大企業</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產品氣候相關資訊揭露與品質」</w:t>
            </w:r>
            <w:r>
              <w:rPr>
                <w:rStyle w:val="無"/>
                <w:rFonts w:ascii="Arial Unicode MS" w:hAnsi="Arial Unicode MS"/>
                <w:sz w:val="20"/>
                <w:szCs w:val="20"/>
                <w:shd w:val="nil" w:color="auto" w:fill="auto"/>
                <w:rtl w:val="0"/>
                <w:lang w:val="zh-TW" w:eastAsia="zh-TW"/>
              </w:rPr>
              <w:t>"</w:t>
            </w:r>
          </w:p>
        </w:tc>
      </w:tr>
      <w:tr>
        <w:tblPrEx>
          <w:shd w:val="clear" w:color="auto" w:fill="cadfff"/>
        </w:tblPrEx>
        <w:trPr>
          <w:trHeight w:val="367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公民參與</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淨零轉型牽涉到食衣住行消費行為改變，社區基礎設施的調整，乃至就業形態變化，因此極需要大眾的認同。而唯有由下而上的公民參與機制，讓各界可以參與政策討論與執行方法，方能推動較為積極的再生能源、節能、運具電動化、食物減碳政策。</w:t>
            </w:r>
          </w:p>
        </w:tc>
      </w:tr>
      <w:tr>
        <w:tblPrEx>
          <w:shd w:val="clear" w:color="auto" w:fill="cadfff"/>
        </w:tblPrEx>
        <w:trPr>
          <w:trHeight w:val="514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公民參與</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、在「能源轉型（科技儲能）」上，透過電力交易平台擴大採購民間儲能服務</w:t>
            </w:r>
            <w:r>
              <w:rPr>
                <w:rStyle w:val="無"/>
                <w:rFonts w:ascii="Helvetica Neue" w:hAnsi="Helvetica Neue"/>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，鼓勵企業及社區發展儲能設施。</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、在「形塑淨零永續綠生活」上，透過資訊公開、加強溝通，凝聚共識、建立目標，達到全民對話溝通：。</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、在「公正轉型」上，因應「淨零轉型」的衝擊時</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，確保不同的個人、社群及地區，在轉型的過程都享有同等發展的機會，打造一個公平與綠色的共好未來。</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無</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cccccc"/>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、成立氣候永續委員會，邀集產、官、學、公民團體、青年、利害關係人，以國家永續發展為目標，制定策略，進行明確有效的效益評估與管考。</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、關於再生能源發展的爭議上，建立政府協調機制：許可開發案前，由政府協助調處開發商與在地社區的需求，程序公開透明，建立利益共享的機制。</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、建立能源轉型紅利分配模式：引入公共金流，要求開發資本組成具備一定比例的社會資本（方式一</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政府介入投資</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投資收益投入社會弱勢、能源弱勢、</w:t>
            </w:r>
            <w:r>
              <w:rPr>
                <w:rStyle w:val="無"/>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淨零永續家園之公正轉型基金</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方式二</w:t>
            </w:r>
            <w:r>
              <w:rPr>
                <w:rStyle w:val="無"/>
                <w:rFonts w:ascii="Arial Unicode MS" w:hAnsi="Arial Unicode MS"/>
                <w:sz w:val="20"/>
                <w:szCs w:val="20"/>
                <w:shd w:val="nil" w:color="auto" w:fill="auto"/>
                <w:rtl w:val="0"/>
                <w:lang w:val="zh-TW" w:eastAsia="zh-TW"/>
              </w:rPr>
              <w:t>:</w:t>
            </w:r>
            <w:r>
              <w:rPr>
                <w:rStyle w:val="無"/>
                <w:rFonts w:eastAsia="Arial Unicode MS" w:hint="eastAsia"/>
                <w:sz w:val="20"/>
                <w:szCs w:val="20"/>
                <w:shd w:val="nil" w:color="auto" w:fill="auto"/>
                <w:rtl w:val="0"/>
                <w:lang w:val="zh-TW" w:eastAsia="zh-TW"/>
              </w:rPr>
              <w:t>在地民眾優先認股分潤）</w:t>
            </w:r>
          </w:p>
        </w:tc>
      </w:tr>
      <w:tr>
        <w:tblPrEx>
          <w:shd w:val="clear" w:color="auto" w:fill="cadfff"/>
        </w:tblPrEx>
        <w:trPr>
          <w:trHeight w:val="253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資訊公開與全民對話不應侷限於「形塑淨零永續綠生活」，應為淨零轉型政策的基礎。政見中未檢討現行官方多將博覽會、廣編稿、不定期的社會溝通會議等視為公民參與，窄化對話溝通。</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未提出相關政見，應儘速提出</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開放政府、公開透明、全民參與」為該候選人長期主張，但政見中僅以氣候永續委員會作為機制，且功能著重於評估與管考，而非建構完整的公民參與機制，實難達到政見中所提到的將淨零視為社會運動的效果。</w:t>
            </w:r>
          </w:p>
        </w:tc>
      </w:tr>
      <w:tr>
        <w:tblPrEx>
          <w:shd w:val="clear" w:color="auto" w:fill="cadfff"/>
        </w:tblPrEx>
        <w:trPr>
          <w:trHeight w:val="7968"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賴清德與柯文哲兩位候選人政見中，雖均肯認公正轉型的重要性，亦強調全民對話，並將並將因應氣候危機視為社會運動。但兩方對於淨零轉型中的公民參與上，仍有兩大不足：</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、忽略知情權</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開放政府與公開透明雖為執政黨與柯文哲主席重視的原則，然在淨零轉型議題，公眾知情權並未提升。以</w:t>
            </w:r>
            <w:r>
              <w:rPr>
                <w:rStyle w:val="無"/>
                <w:rFonts w:ascii="Arial Unicode MS" w:hAnsi="Arial Unicode MS"/>
                <w:sz w:val="20"/>
                <w:szCs w:val="20"/>
                <w:shd w:val="nil" w:color="auto" w:fill="auto"/>
                <w:rtl w:val="0"/>
                <w:lang w:val="zh-TW" w:eastAsia="zh-TW"/>
              </w:rPr>
              <w:t>2030</w:t>
            </w:r>
            <w:r>
              <w:rPr>
                <w:rStyle w:val="無"/>
                <w:rFonts w:eastAsia="Arial Unicode MS" w:hint="eastAsia"/>
                <w:sz w:val="20"/>
                <w:szCs w:val="20"/>
                <w:shd w:val="nil" w:color="auto" w:fill="auto"/>
                <w:rtl w:val="0"/>
                <w:lang w:val="zh-TW" w:eastAsia="zh-TW"/>
              </w:rPr>
              <w:t>年階段性管制目標為例，並未提供公眾完整評估報告。而淨零轉型十二項關鍵戰略推動進程，亦尚未設計進度稽核資訊平台，讓公民可充分掌握各項政策進展。</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、未從協作精神出發</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在淨零轉型議題上，公眾並非僅是被動員跟宣導的對像，亦應與公部門積極合作，共擬解方。執政黨於能源議題上，雖曾以能源轉型白皮書嘗試建立協作機制，但未能持續性推動，於此次淨零轉型十二項關鍵戰略中，亦僅見各部會行禮如儀的舉辦社會對話會議，而非積極創造協作的可能性。</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、以扎實的社會溝通取代浮誇的淨零展</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hint="default"/>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各淨零轉型關鍵戰略的主責機關應以社會溝通會議取代各類展覽會的參與，秉持「資訊公開」、「各方利害關係人參與」，以及「具體回應社會各界意見」三大原則，應先組成氣候公民大會，比照歐洲數十個國家，甚至</w:t>
            </w:r>
            <w:r>
              <w:rPr>
                <w:rStyle w:val="無"/>
                <w:rFonts w:ascii="Arial Unicode MS" w:hAnsi="Arial Unicode MS"/>
                <w:sz w:val="20"/>
                <w:szCs w:val="20"/>
                <w:shd w:val="nil" w:color="auto" w:fill="auto"/>
                <w:rtl w:val="0"/>
                <w:lang w:val="zh-TW" w:eastAsia="zh-TW"/>
              </w:rPr>
              <w:t>2021</w:t>
            </w:r>
            <w:r>
              <w:rPr>
                <w:rStyle w:val="無"/>
                <w:rFonts w:eastAsia="Arial Unicode MS" w:hint="eastAsia"/>
                <w:sz w:val="20"/>
                <w:szCs w:val="20"/>
                <w:shd w:val="nil" w:color="auto" w:fill="auto"/>
                <w:rtl w:val="0"/>
                <w:lang w:val="zh-TW" w:eastAsia="zh-TW"/>
              </w:rPr>
              <w:t>年疫情較台灣嚴峻的韓國，藉由抽樣的公民參與方式，擴大公民參與，進行淨零路徑的討論，讓更多公民從學習、審議到達成共識，作為氣候政策規劃的依循，而非只是邀請特定公民團體、產業、學者、與政府部門討論</w:t>
            </w:r>
            <w:r>
              <w:rPr>
                <w:rStyle w:val="無"/>
                <w:rFonts w:ascii="Arial Unicode MS" w:hAnsi="Arial Unicode MS"/>
                <w:sz w:val="20"/>
                <w:szCs w:val="20"/>
                <w:shd w:val="nil" w:color="auto" w:fill="auto"/>
                <w:rtl w:val="0"/>
                <w:lang w:val="zh-TW" w:eastAsia="zh-TW"/>
              </w:rPr>
              <w:t>2050</w:t>
            </w:r>
            <w:r>
              <w:rPr>
                <w:rStyle w:val="無"/>
                <w:rFonts w:eastAsia="Arial Unicode MS" w:hint="eastAsia"/>
                <w:sz w:val="20"/>
                <w:szCs w:val="20"/>
                <w:shd w:val="nil" w:color="auto" w:fill="auto"/>
                <w:rtl w:val="0"/>
                <w:lang w:val="zh-TW" w:eastAsia="zh-TW"/>
              </w:rPr>
              <w:t>年淨零路徑的想像，後續每季舉辦社會溝通會議。</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、中央與地方提升公民參與品質：氣候法中規範各項中央應以公聽會、地方則需舉辦座談會或以其他適當方法確保公民參與權利，但關鍵議題時，如減碳目標，應以聽證會方式籌辦，方可促進有效對話。</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、應積極建構氣候訴訟制度：氣候公益訴訟已為國際間常見的氣候政策監督機制，惟台灣以行政訴訟量能不願採行此制度。故應提出建立氣候公益訴訟制度之時程，逐步厚實各界量能，方可確保最根本的環境權。</w:t>
            </w:r>
          </w:p>
        </w:tc>
      </w:tr>
      <w:tr>
        <w:tblPrEx>
          <w:shd w:val="clear" w:color="auto" w:fill="cadfff"/>
        </w:tblPrEx>
        <w:trPr>
          <w:trHeight w:val="442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公正轉型</w:t>
            </w:r>
            <w:r>
              <w:rPr>
                <w:rStyle w:val="無"/>
                <w:sz w:val="24"/>
                <w:szCs w:val="24"/>
                <w:shd w:val="nil" w:color="auto" w:fill="auto"/>
                <w:rtl w:val="0"/>
                <w:lang w:val="zh-TW" w:eastAsia="zh-TW"/>
              </w:rPr>
              <w:t xml:space="preserve"> </w:t>
            </w:r>
            <w:r>
              <w:rPr>
                <w:rStyle w:val="無"/>
                <w:rFonts w:ascii="Arial Unicode MS" w:hAnsi="Arial Unicode MS"/>
                <w:sz w:val="24"/>
                <w:szCs w:val="24"/>
                <w:shd w:val="nil" w:color="auto" w:fill="auto"/>
                <w:rtl w:val="0"/>
                <w:lang w:val="zh-TW" w:eastAsia="zh-TW"/>
              </w:rPr>
              <w:t>(</w:t>
            </w:r>
            <w:r>
              <w:rPr>
                <w:rStyle w:val="無"/>
                <w:rFonts w:eastAsia="Arial Unicode MS" w:hint="eastAsia"/>
                <w:sz w:val="24"/>
                <w:szCs w:val="24"/>
                <w:shd w:val="nil" w:color="auto" w:fill="auto"/>
                <w:rtl w:val="0"/>
                <w:lang w:val="zh-TW" w:eastAsia="zh-TW"/>
              </w:rPr>
              <w:t>介紹</w:t>
            </w:r>
            <w:r>
              <w:rPr>
                <w:rStyle w:val="無"/>
                <w:rFonts w:ascii="Arial Unicode MS" w:hAnsi="Arial Unicode MS"/>
                <w:sz w:val="24"/>
                <w:szCs w:val="24"/>
                <w:shd w:val="nil" w:color="auto" w:fill="auto"/>
                <w:rtl w:val="0"/>
                <w:lang w:val="zh-TW" w:eastAsia="zh-TW"/>
              </w:rPr>
              <w:t>)</w:t>
            </w:r>
          </w:p>
        </w:tc>
        <w:tc>
          <w:tcPr>
            <w:tcW w:type="dxa" w:w="8127"/>
            <w:gridSpan w:val="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為了減緩氣候變遷，國家和企業需要轉型至更永續、具備韌性的淨零經濟與社會系統。而公正轉型（</w:t>
            </w:r>
            <w:r>
              <w:rPr>
                <w:rStyle w:val="無"/>
                <w:rFonts w:ascii="Arial Unicode MS" w:hAnsi="Arial Unicode MS"/>
                <w:sz w:val="20"/>
                <w:szCs w:val="20"/>
                <w:shd w:val="nil" w:color="auto" w:fill="auto"/>
                <w:rtl w:val="0"/>
                <w:lang w:val="zh-TW" w:eastAsia="zh-TW"/>
              </w:rPr>
              <w:t>Just Transition</w:t>
            </w:r>
            <w:r>
              <w:rPr>
                <w:rStyle w:val="無"/>
                <w:rFonts w:eastAsia="Arial Unicode MS" w:hint="eastAsia"/>
                <w:sz w:val="20"/>
                <w:szCs w:val="20"/>
                <w:shd w:val="nil" w:color="auto" w:fill="auto"/>
                <w:rtl w:val="0"/>
                <w:lang w:val="zh-TW" w:eastAsia="zh-TW"/>
              </w:rPr>
              <w:t>）的基本理念是指在這轉型的過程中，盡可能地以公平公正和包容的方式、不遺落任何人，創造人人都能享有尊嚴勞動的工作機會，實現淨零目標。在此原則之下，政府在規劃、執行與修正淨零政策時，應向所有因淨零轉型而受影響之社群諮詢對話、提供支持機制，來協助產業、地區、勞工、消費者及原住民族穩定轉型。</w:t>
            </w:r>
          </w:p>
        </w:tc>
      </w:tr>
      <w:tr>
        <w:tblPrEx>
          <w:shd w:val="clear" w:color="auto" w:fill="cadfff"/>
        </w:tblPrEx>
        <w:trPr>
          <w:trHeight w:val="6106"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公正轉型</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、打造綠色共好未來</w:t>
            </w:r>
            <w:r>
              <w:rPr>
                <w:rStyle w:val="無"/>
                <w:rFonts w:ascii="Arial Unicode MS" w:hAnsi="Arial Unicode MS"/>
                <w:sz w:val="20"/>
                <w:szCs w:val="20"/>
                <w:shd w:val="nil" w:color="auto" w:fill="auto"/>
                <w:rtl w:val="0"/>
                <w:lang w:val="zh-TW" w:eastAsia="zh-TW"/>
              </w:rPr>
              <w:t xml:space="preserve">: </w:t>
            </w:r>
            <w:r>
              <w:rPr>
                <w:rStyle w:val="無"/>
                <w:rFonts w:eastAsia="Arial Unicode MS" w:hint="eastAsia"/>
                <w:sz w:val="20"/>
                <w:szCs w:val="20"/>
                <w:shd w:val="nil" w:color="auto" w:fill="auto"/>
                <w:rtl w:val="0"/>
                <w:lang w:val="zh-TW" w:eastAsia="zh-TW"/>
              </w:rPr>
              <w:t>因應轉型衝擊，確保不同的個人、社群及地區在轉型過程享有同等發展機會</w:t>
            </w:r>
            <w:r>
              <w:rPr>
                <w:rStyle w:val="無"/>
                <w:rFonts w:ascii="Arial Unicode MS" w:hAnsi="Arial Unicode MS"/>
                <w:sz w:val="20"/>
                <w:szCs w:val="20"/>
                <w:shd w:val="nil" w:color="auto" w:fill="auto"/>
                <w:rtl w:val="0"/>
                <w:lang w:val="zh-TW" w:eastAsia="zh-TW"/>
              </w:rPr>
              <w:t>;</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、完善淨零轉型爭議處理機制：藉由就業、投資、保險、信託等機制降低不確定性與衝擊</w:t>
            </w:r>
            <w:r>
              <w:rPr>
                <w:rStyle w:val="無"/>
                <w:rFonts w:ascii="Arial Unicode MS" w:hAnsi="Arial Unicode MS"/>
                <w:sz w:val="20"/>
                <w:szCs w:val="20"/>
                <w:shd w:val="nil" w:color="auto" w:fill="auto"/>
                <w:rtl w:val="0"/>
                <w:lang w:val="zh-TW" w:eastAsia="zh-TW"/>
              </w:rPr>
              <w:t>;</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、化氣候變遷為區域發展契機</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4</w:t>
            </w:r>
            <w:r>
              <w:rPr>
                <w:rStyle w:val="無"/>
                <w:rFonts w:eastAsia="Arial Unicode MS" w:hint="eastAsia"/>
                <w:sz w:val="20"/>
                <w:szCs w:val="20"/>
                <w:shd w:val="nil" w:color="auto" w:fill="auto"/>
                <w:rtl w:val="0"/>
                <w:lang w:val="zh-TW" w:eastAsia="zh-TW"/>
              </w:rPr>
              <w:t>、推動「綠色成長」、「包容性成長」，讓中小、微型企業、勞工、弱勢者都得到政府支持。運用各種政策賦予更多技能，跟上新的時代，讓工作效能可以提升，收入提高，生活得到保障。</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設置社會氣候基金：</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、補貼低收入戶、支持智慧綠能基礎建設、投資可再生能源。</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、基於公平正義原則，財源由徵收碳費而來，專款專用。</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、成立勞資政委員會，拉高決策層級，定期舉辦產業層級的勞資政社會對話；制定勞工淨零轉型計畫，協助勞工進修、轉職，並提出補償與失業救濟計畫</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rPr>
                <w:rStyle w:val="無"/>
                <w:rFonts w:ascii="Arial" w:cs="Arial" w:hAnsi="Arial" w:eastAsia="Arial"/>
                <w:sz w:val="20"/>
                <w:szCs w:val="20"/>
                <w:shd w:val="nil" w:color="auto" w:fill="auto"/>
              </w:rPr>
            </w:pPr>
            <w:r>
              <w:rPr>
                <w:rStyle w:val="無"/>
                <w:rFonts w:ascii="Arial Unicode MS" w:hAnsi="Arial Unicode MS"/>
                <w:sz w:val="20"/>
                <w:szCs w:val="20"/>
                <w:shd w:val="nil" w:color="auto" w:fill="auto"/>
                <w:rtl w:val="0"/>
                <w:lang w:val="zh-TW" w:eastAsia="zh-TW"/>
              </w:rPr>
              <w:t>1</w:t>
            </w:r>
            <w:r>
              <w:rPr>
                <w:rStyle w:val="無"/>
                <w:rFonts w:eastAsia="Arial Unicode MS" w:hint="eastAsia"/>
                <w:sz w:val="20"/>
                <w:szCs w:val="20"/>
                <w:shd w:val="nil" w:color="auto" w:fill="auto"/>
                <w:rtl w:val="0"/>
                <w:lang w:val="zh-TW" w:eastAsia="zh-TW"/>
              </w:rPr>
              <w:t>、成立氣候永續轉型基金，以碳稅收入作為財源，支應負碳技術開發應用、補貼弱勢、促進社會公平</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2</w:t>
            </w:r>
            <w:r>
              <w:rPr>
                <w:rStyle w:val="無"/>
                <w:rFonts w:eastAsia="Arial Unicode MS" w:hint="eastAsia"/>
                <w:sz w:val="20"/>
                <w:szCs w:val="20"/>
                <w:shd w:val="nil" w:color="auto" w:fill="auto"/>
                <w:rtl w:val="0"/>
                <w:lang w:val="zh-TW" w:eastAsia="zh-TW"/>
              </w:rPr>
              <w:t>、針對受到電動車轉型而受影響的運輸業勞工提供協助</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ascii="Arial Unicode MS" w:hAnsi="Arial Unicode MS"/>
                <w:sz w:val="20"/>
                <w:szCs w:val="20"/>
                <w:shd w:val="nil" w:color="auto" w:fill="auto"/>
                <w:rtl w:val="0"/>
                <w:lang w:val="zh-TW" w:eastAsia="zh-TW"/>
              </w:rPr>
              <w:t>3</w:t>
            </w:r>
            <w:r>
              <w:rPr>
                <w:rStyle w:val="無"/>
                <w:rFonts w:eastAsia="Arial Unicode MS" w:hint="eastAsia"/>
                <w:sz w:val="20"/>
                <w:szCs w:val="20"/>
                <w:shd w:val="nil" w:color="auto" w:fill="auto"/>
                <w:rtl w:val="0"/>
                <w:lang w:val="zh-TW" w:eastAsia="zh-TW"/>
              </w:rPr>
              <w:t>、符合公正轉型精神的在地淨零碳排，不要讓能源轉型淪為黑金勢力的溫床</w:t>
            </w:r>
          </w:p>
          <w:p>
            <w:pPr>
              <w:pStyle w:val="內文 A"/>
              <w:widowControl w:val="0"/>
              <w:bidi w:val="0"/>
              <w:spacing w:line="276" w:lineRule="auto"/>
              <w:ind w:left="0" w:right="0" w:firstLine="0"/>
              <w:jc w:val="left"/>
              <w:rPr>
                <w:rtl w:val="0"/>
              </w:rPr>
            </w:pPr>
            <w:r>
              <w:rPr>
                <w:rStyle w:val="無"/>
                <w:rFonts w:ascii="Arial Unicode MS" w:hAnsi="Arial Unicode MS"/>
                <w:sz w:val="20"/>
                <w:szCs w:val="20"/>
                <w:shd w:val="nil" w:color="auto" w:fill="auto"/>
                <w:rtl w:val="0"/>
                <w:lang w:val="zh-TW" w:eastAsia="zh-TW"/>
              </w:rPr>
              <w:t>4</w:t>
            </w:r>
            <w:r>
              <w:rPr>
                <w:rStyle w:val="無"/>
                <w:rFonts w:eastAsia="Arial Unicode MS" w:hint="eastAsia"/>
                <w:sz w:val="20"/>
                <w:szCs w:val="20"/>
                <w:shd w:val="nil" w:color="auto" w:fill="auto"/>
                <w:rtl w:val="0"/>
                <w:lang w:val="zh-TW" w:eastAsia="zh-TW"/>
              </w:rPr>
              <w:t>、工會籌組門檻下修為</w:t>
            </w:r>
            <w:r>
              <w:rPr>
                <w:rStyle w:val="無"/>
                <w:rFonts w:ascii="Arial Unicode MS" w:hAnsi="Arial Unicode MS"/>
                <w:sz w:val="20"/>
                <w:szCs w:val="20"/>
                <w:shd w:val="nil" w:color="auto" w:fill="auto"/>
                <w:rtl w:val="0"/>
                <w:lang w:val="zh-TW" w:eastAsia="zh-TW"/>
              </w:rPr>
              <w:t>10</w:t>
            </w:r>
            <w:r>
              <w:rPr>
                <w:rStyle w:val="無"/>
                <w:rFonts w:eastAsia="Arial Unicode MS" w:hint="eastAsia"/>
                <w:sz w:val="20"/>
                <w:szCs w:val="20"/>
                <w:shd w:val="nil" w:color="auto" w:fill="auto"/>
                <w:rtl w:val="0"/>
                <w:lang w:val="zh-TW" w:eastAsia="zh-TW"/>
              </w:rPr>
              <w:t>人</w:t>
            </w:r>
          </w:p>
        </w:tc>
      </w:tr>
      <w:tr>
        <w:tblPrEx>
          <w:shd w:val="clear" w:color="auto" w:fill="cadfff"/>
        </w:tblPrEx>
        <w:trPr>
          <w:trHeight w:val="5140" w:hRule="atLeast"/>
        </w:trPr>
        <w:tc>
          <w:tcPr>
            <w:tcW w:type="dxa" w:w="1504"/>
            <w:tcBorders>
              <w:top w:val="single" w:color="cccccc" w:sz="6" w:space="0" w:shadow="0" w:frame="0"/>
              <w:left w:val="single" w:color="000000"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個別短評</w:t>
            </w:r>
          </w:p>
        </w:tc>
        <w:tc>
          <w:tcPr>
            <w:tcW w:type="dxa" w:w="2660"/>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中規中矩地提出公正轉型的基本原則，也提到「包容性成長」之概念，提出完善「爭議處理機制」之主張，但並未清楚交代就業、投資、保險信託等機制可以如何協助解決轉型的不確定性與衝擊。將氣候變遷轉化為區域發展的動力也未明確交代與公正轉型之關聯。</w:t>
            </w:r>
          </w:p>
        </w:tc>
        <w:tc>
          <w:tcPr>
            <w:tcW w:type="dxa" w:w="1953"/>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設置勞政資委員會，舉辦產業層級社會對話，制定以勞工為主的淨零轉型計畫，雖是相對具體的制度設計，但未清楚交代與《氣候法》下公正轉型委員會之間的關係。以碳費收入做為「社會氣候基金」用於補助低收入戶、勞工轉型，符合環團對碳費用於公正轉型之倡議。</w:t>
            </w:r>
          </w:p>
        </w:tc>
        <w:tc>
          <w:tcPr>
            <w:tcW w:type="dxa" w:w="3513"/>
            <w:tcBorders>
              <w:top w:val="single" w:color="cccccc" w:sz="6" w:space="0" w:shadow="0" w:frame="0"/>
              <w:left w:val="single" w:color="cccccc" w:sz="6" w:space="0" w:shadow="0" w:frame="0"/>
              <w:bottom w:val="single" w:color="cccccc" w:sz="6" w:space="0" w:shadow="0" w:frame="0"/>
              <w:right w:val="single" w:color="000000"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0"/>
                <w:szCs w:val="20"/>
                <w:shd w:val="nil" w:color="auto" w:fill="auto"/>
                <w:rtl w:val="0"/>
                <w:lang w:val="zh-TW" w:eastAsia="zh-TW"/>
              </w:rPr>
              <w:t>公正轉型政策相較其他候選人較為單薄，以碳費收入為「氣候永續轉型基金」來輔導、補償受衝擊勞工符合環團長期訴求，但除此之外缺乏亮點。不過其承諾把工會籌組門檻下修為</w:t>
            </w:r>
            <w:r>
              <w:rPr>
                <w:rStyle w:val="無"/>
                <w:rFonts w:ascii="Arial Unicode MS" w:hAnsi="Arial Unicode MS"/>
                <w:sz w:val="20"/>
                <w:szCs w:val="20"/>
                <w:shd w:val="nil" w:color="auto" w:fill="auto"/>
                <w:rtl w:val="0"/>
                <w:lang w:val="zh-TW" w:eastAsia="zh-TW"/>
              </w:rPr>
              <w:t>10</w:t>
            </w:r>
            <w:r>
              <w:rPr>
                <w:rStyle w:val="無"/>
                <w:rFonts w:eastAsia="Arial Unicode MS" w:hint="eastAsia"/>
                <w:sz w:val="20"/>
                <w:szCs w:val="20"/>
                <w:shd w:val="nil" w:color="auto" w:fill="auto"/>
                <w:rtl w:val="0"/>
                <w:lang w:val="zh-TW" w:eastAsia="zh-TW"/>
              </w:rPr>
              <w:t>人，有利於強化工會團體在公正轉型過程中的能力建構。</w:t>
            </w:r>
          </w:p>
        </w:tc>
      </w:tr>
      <w:tr>
        <w:tblPrEx>
          <w:shd w:val="clear" w:color="auto" w:fill="cadfff"/>
        </w:tblPrEx>
        <w:trPr>
          <w:trHeight w:val="7268" w:hRule="atLeast"/>
        </w:trPr>
        <w:tc>
          <w:tcPr>
            <w:tcW w:type="dxa" w:w="1504"/>
            <w:tcBorders>
              <w:top w:val="single" w:color="cccccc" w:sz="6" w:space="0" w:shadow="0" w:frame="0"/>
              <w:left w:val="single" w:color="000000" w:sz="6" w:space="0" w:shadow="0" w:frame="0"/>
              <w:bottom w:val="single" w:color="000000" w:sz="6" w:space="0" w:shadow="0" w:frame="0"/>
              <w:right w:val="single" w:color="cccccc" w:sz="6" w:space="0" w:shadow="0" w:frame="0"/>
            </w:tcBorders>
            <w:shd w:val="clear" w:color="auto" w:fill="auto"/>
            <w:tcMar>
              <w:top w:type="dxa" w:w="80"/>
              <w:left w:type="dxa" w:w="80"/>
              <w:bottom w:type="dxa" w:w="80"/>
              <w:right w:type="dxa" w:w="80"/>
            </w:tcMar>
            <w:vAlign w:val="top"/>
          </w:tcPr>
          <w:p>
            <w:pPr>
              <w:pStyle w:val="內文 A"/>
              <w:widowControl w:val="0"/>
              <w:spacing w:line="276" w:lineRule="auto"/>
            </w:pPr>
            <w:r>
              <w:rPr>
                <w:rStyle w:val="無"/>
                <w:rFonts w:eastAsia="Arial Unicode MS" w:hint="eastAsia"/>
                <w:sz w:val="24"/>
                <w:szCs w:val="24"/>
                <w:shd w:val="nil" w:color="auto" w:fill="auto"/>
                <w:rtl w:val="0"/>
                <w:lang w:val="zh-TW" w:eastAsia="zh-TW"/>
              </w:rPr>
              <w:t>綜合評論</w:t>
            </w:r>
          </w:p>
        </w:tc>
        <w:tc>
          <w:tcPr>
            <w:tcW w:type="dxa" w:w="8127"/>
            <w:gridSpan w:val="3"/>
            <w:tcBorders>
              <w:top w:val="single" w:color="cccccc" w:sz="6" w:space="0" w:shadow="0" w:frame="0"/>
              <w:left w:val="single" w:color="cccccc"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bottom"/>
          </w:tcPr>
          <w:p>
            <w:pPr>
              <w:pStyle w:val="內文 A"/>
              <w:widowControl w:val="0"/>
              <w:spacing w:line="276" w:lineRule="auto"/>
              <w:rPr>
                <w:rStyle w:val="無"/>
                <w:rFonts w:ascii="Arial" w:cs="Arial" w:hAnsi="Arial" w:eastAsia="Arial"/>
                <w:sz w:val="20"/>
                <w:szCs w:val="20"/>
                <w:shd w:val="nil" w:color="auto" w:fill="auto"/>
              </w:rPr>
            </w:pPr>
            <w:r>
              <w:rPr>
                <w:rStyle w:val="無"/>
                <w:rFonts w:eastAsia="Arial Unicode MS" w:hint="eastAsia"/>
                <w:sz w:val="20"/>
                <w:szCs w:val="20"/>
                <w:shd w:val="nil" w:color="auto" w:fill="auto"/>
                <w:rtl w:val="0"/>
                <w:lang w:val="zh-TW" w:eastAsia="zh-TW"/>
              </w:rPr>
              <w:t>問題分析</w:t>
            </w:r>
            <w:r>
              <w:rPr>
                <w:rStyle w:val="無"/>
                <w:rFonts w:ascii="Helvetica Neue" w:hAnsi="Helvetica Neue"/>
                <w:sz w:val="20"/>
                <w:szCs w:val="20"/>
                <w:shd w:val="nil" w:color="auto" w:fill="auto"/>
                <w:rtl w:val="0"/>
                <w:lang w:val="zh-TW" w:eastAsia="zh-TW"/>
              </w:rPr>
              <w:t xml:space="preserve"> </w:t>
            </w:r>
            <w:r>
              <w:rPr>
                <w:rStyle w:val="無"/>
                <w:rFonts w:ascii="Arial Unicode MS" w:hAnsi="Arial Unicode MS"/>
                <w:sz w:val="20"/>
                <w:szCs w:val="20"/>
                <w:shd w:val="nil" w:color="auto" w:fill="auto"/>
                <w:rtl w:val="0"/>
                <w:lang w:val="zh-TW" w:eastAsia="zh-TW"/>
              </w:rPr>
              <w:t>:</w:t>
            </w: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三位候選人都肯定公正轉型「不遺落任何人」的原則，但缺乏更為具體的政策，例如賴清德的淨零轉型爭議處理機制將如何具體評估、減緩轉型過程對勞工與弱勢群體的衝擊與不確定性？侯友宜的勞資政委員會與現行公正轉型委員會的運作如何對接？柯文哲與侯友宜各自主張用碳費收入建立「社會氣候基金」、「氣候永續轉型基金」用於補助、輔導受衝擊勞工、低收入戶等社會弱勢群體，較現行《氣候法》第</w:t>
            </w:r>
            <w:r>
              <w:rPr>
                <w:rStyle w:val="無"/>
                <w:rFonts w:ascii="Arial Unicode MS" w:hAnsi="Arial Unicode MS"/>
                <w:sz w:val="20"/>
                <w:szCs w:val="20"/>
                <w:shd w:val="nil" w:color="auto" w:fill="auto"/>
                <w:rtl w:val="0"/>
                <w:lang w:val="zh-TW" w:eastAsia="zh-TW"/>
              </w:rPr>
              <w:t>31</w:t>
            </w:r>
            <w:r>
              <w:rPr>
                <w:rStyle w:val="無"/>
                <w:rFonts w:eastAsia="Arial Unicode MS" w:hint="eastAsia"/>
                <w:sz w:val="20"/>
                <w:szCs w:val="20"/>
                <w:shd w:val="nil" w:color="auto" w:fill="auto"/>
                <w:rtl w:val="0"/>
                <w:lang w:val="zh-TW" w:eastAsia="zh-TW"/>
              </w:rPr>
              <w:t>條僅模糊定義溫室氣體管理基金之用途包含「協助中央目的事業主管機關執行公正轉型相關工作事項」更直接且符合公正轉型精神。但整體而言，三位候選人的公正轉型政策都並未超出</w:t>
            </w:r>
            <w:r>
              <w:rPr>
                <w:rStyle w:val="無"/>
                <w:rFonts w:ascii="Arial Unicode MS" w:hAnsi="Arial Unicode MS"/>
                <w:sz w:val="20"/>
                <w:szCs w:val="20"/>
                <w:shd w:val="nil" w:color="auto" w:fill="auto"/>
                <w:rtl w:val="0"/>
                <w:lang w:val="zh-TW" w:eastAsia="zh-TW"/>
              </w:rPr>
              <w:t>12</w:t>
            </w:r>
            <w:r>
              <w:rPr>
                <w:rStyle w:val="無"/>
                <w:rFonts w:eastAsia="Arial Unicode MS" w:hint="eastAsia"/>
                <w:sz w:val="20"/>
                <w:szCs w:val="20"/>
                <w:shd w:val="nil" w:color="auto" w:fill="auto"/>
                <w:rtl w:val="0"/>
                <w:lang w:val="zh-TW" w:eastAsia="zh-TW"/>
              </w:rPr>
              <w:t>項關鍵戰略的範疇，仍停留在相對消極的受害者輔導、補償機制，未交代如何辨識不同類型的利害關係人、如何評估淨零轉型對不同地區、社會身分與階級的社會群體的不同衝擊，以及如何落實有意義的社會對話。此外，公正轉型有賴於工會團體組織率與實力的提升，三位候選人除柯文哲承諾下修工會籌組門檻之外，並無太多更積極的承諾。</w:t>
            </w:r>
          </w:p>
          <w:p>
            <w:pPr>
              <w:pStyle w:val="內文 A"/>
              <w:widowControl w:val="0"/>
              <w:spacing w:line="276" w:lineRule="auto"/>
              <w:rPr>
                <w:rStyle w:val="無"/>
                <w:rFonts w:ascii="Arial" w:cs="Arial" w:hAnsi="Arial" w:eastAsia="Arial"/>
                <w:sz w:val="20"/>
                <w:szCs w:val="20"/>
                <w:shd w:val="nil" w:color="auto" w:fill="auto"/>
                <w:lang w:val="zh-TW" w:eastAsia="zh-TW"/>
              </w:rPr>
            </w:pPr>
          </w:p>
          <w:p>
            <w:pPr>
              <w:pStyle w:val="內文 A"/>
              <w:widowControl w:val="0"/>
              <w:bidi w:val="0"/>
              <w:spacing w:line="276" w:lineRule="auto"/>
              <w:ind w:left="0" w:right="0" w:firstLine="0"/>
              <w:jc w:val="left"/>
              <w:rPr>
                <w:rStyle w:val="無"/>
                <w:rFonts w:ascii="Arial" w:cs="Arial" w:hAnsi="Arial" w:eastAsia="Arial"/>
                <w:sz w:val="20"/>
                <w:szCs w:val="20"/>
                <w:shd w:val="nil" w:color="auto" w:fill="auto"/>
                <w:rtl w:val="0"/>
              </w:rPr>
            </w:pPr>
            <w:r>
              <w:rPr>
                <w:rStyle w:val="無"/>
                <w:rFonts w:eastAsia="Arial Unicode MS" w:hint="eastAsia"/>
                <w:sz w:val="20"/>
                <w:szCs w:val="20"/>
                <w:shd w:val="nil" w:color="auto" w:fill="auto"/>
                <w:rtl w:val="0"/>
                <w:lang w:val="zh-TW" w:eastAsia="zh-TW"/>
              </w:rPr>
              <w:t>民間訴求：</w:t>
            </w:r>
          </w:p>
          <w:p>
            <w:pPr>
              <w:pStyle w:val="內文 A"/>
              <w:widowControl w:val="0"/>
              <w:numPr>
                <w:ilvl w:val="0"/>
                <w:numId w:val="1"/>
              </w:numPr>
              <w:bidi w:val="0"/>
              <w:spacing w:line="276" w:lineRule="auto"/>
              <w:ind w:right="0"/>
              <w:jc w:val="left"/>
              <w:rPr>
                <w:sz w:val="20"/>
                <w:szCs w:val="20"/>
                <w:rtl w:val="0"/>
                <w:lang w:val="zh-TW" w:eastAsia="zh-TW"/>
              </w:rPr>
            </w:pPr>
            <w:r>
              <w:rPr>
                <w:rStyle w:val="無"/>
                <w:rFonts w:eastAsia="Arial Unicode MS" w:hint="eastAsia"/>
                <w:sz w:val="20"/>
                <w:szCs w:val="20"/>
                <w:shd w:val="nil" w:color="auto" w:fill="auto"/>
                <w:rtl w:val="0"/>
                <w:lang w:val="zh-TW" w:eastAsia="zh-TW"/>
              </w:rPr>
              <w:t>明確指出將如何責成各主管機關偕同地方政府合作，盤點各部門、各區域的淨零衝擊熱點，掌握各地不同產業、職業身分、脆弱度的群體在轉型過程中面對的潛在挑戰。</w:t>
            </w:r>
          </w:p>
          <w:p>
            <w:pPr>
              <w:pStyle w:val="內文 A"/>
              <w:widowControl w:val="0"/>
              <w:numPr>
                <w:ilvl w:val="0"/>
                <w:numId w:val="1"/>
              </w:numPr>
              <w:bidi w:val="0"/>
              <w:spacing w:line="276" w:lineRule="auto"/>
              <w:ind w:right="0"/>
              <w:jc w:val="left"/>
              <w:rPr>
                <w:sz w:val="20"/>
                <w:szCs w:val="20"/>
                <w:rtl w:val="0"/>
                <w:lang w:val="zh-TW" w:eastAsia="zh-TW"/>
              </w:rPr>
            </w:pPr>
            <w:r>
              <w:rPr>
                <w:rStyle w:val="無"/>
                <w:rFonts w:eastAsia="Arial Unicode MS" w:hint="eastAsia"/>
                <w:sz w:val="20"/>
                <w:szCs w:val="20"/>
                <w:shd w:val="nil" w:color="auto" w:fill="auto"/>
                <w:rtl w:val="0"/>
                <w:lang w:val="zh-TW" w:eastAsia="zh-TW"/>
              </w:rPr>
              <w:t>盤點台灣社會保障與社會福利體系在協助脆弱群體因應產業轉型衝擊上所能扮演的積極角色及尚需完善的政策缺口；研擬技能訓練以外更能完善勞工保障與賦能的措施。</w:t>
            </w:r>
          </w:p>
          <w:p>
            <w:pPr>
              <w:pStyle w:val="內文 A"/>
              <w:widowControl w:val="0"/>
              <w:numPr>
                <w:ilvl w:val="0"/>
                <w:numId w:val="1"/>
              </w:numPr>
              <w:bidi w:val="0"/>
              <w:spacing w:line="276" w:lineRule="auto"/>
              <w:ind w:right="0"/>
              <w:jc w:val="left"/>
              <w:rPr>
                <w:sz w:val="20"/>
                <w:szCs w:val="20"/>
                <w:rtl w:val="0"/>
                <w:lang w:val="zh-TW" w:eastAsia="zh-TW"/>
              </w:rPr>
            </w:pPr>
            <w:r>
              <w:rPr>
                <w:rStyle w:val="無"/>
                <w:rFonts w:eastAsia="Arial Unicode MS" w:hint="eastAsia"/>
                <w:sz w:val="20"/>
                <w:szCs w:val="20"/>
                <w:shd w:val="nil" w:color="auto" w:fill="auto"/>
                <w:rtl w:val="0"/>
                <w:lang w:val="zh-TW" w:eastAsia="zh-TW"/>
              </w:rPr>
              <w:t>規劃碳費／稅優先運用於公正轉型之多元方式，例如失業補償與救濟、技能培養與輔導、工會與其他社會團體之培力、補助弱勢家戶、改善能源貧窮等。</w:t>
            </w:r>
            <w:r>
              <w:rPr>
                <w:rStyle w:val="無"/>
                <w:sz w:val="20"/>
                <w:szCs w:val="20"/>
                <w:shd w:val="nil" w:color="auto" w:fill="auto"/>
              </w:rPr>
            </w:r>
          </w:p>
        </w:tc>
      </w:tr>
    </w:tbl>
    <w:p>
      <w:pPr>
        <w:pStyle w:val="內文 A"/>
        <w:widowControl w:val="0"/>
        <w:ind w:left="108" w:hanging="108"/>
        <w:jc w:val="both"/>
        <w:rPr>
          <w:rStyle w:val="無"/>
          <w:b w:val="1"/>
          <w:bCs w:val="1"/>
          <w:sz w:val="28"/>
          <w:szCs w:val="28"/>
          <w:u w:val="single"/>
        </w:rPr>
      </w:pPr>
    </w:p>
    <w:p>
      <w:pPr>
        <w:pStyle w:val="內文 A"/>
        <w:rPr>
          <w:rStyle w:val="無"/>
        </w:rPr>
      </w:pPr>
    </w:p>
    <w:p>
      <w:pPr>
        <w:pStyle w:val="內文 A"/>
        <w:rPr>
          <w:rStyle w:val="無"/>
        </w:rPr>
      </w:pPr>
    </w:p>
    <w:p>
      <w:pPr>
        <w:pStyle w:val="內文 A"/>
        <w:rPr>
          <w:rStyle w:val="無"/>
        </w:rPr>
      </w:pPr>
      <w:r>
        <w:rPr>
          <w:rStyle w:val="無"/>
          <w:rFonts w:ascii="Arial" w:hAnsi="Arial"/>
          <w:b w:val="1"/>
          <w:bCs w:val="1"/>
          <w:shd w:val="clear" w:color="auto" w:fill="ffffff"/>
          <w:rtl w:val="0"/>
          <w:lang w:val="en-US"/>
        </w:rPr>
        <w:t>2030</w:t>
      </w:r>
      <w:r>
        <w:rPr>
          <w:rStyle w:val="無"/>
          <w:rFonts w:eastAsia="PingFang TC Semibold" w:hint="eastAsia"/>
          <w:shd w:val="clear" w:color="auto" w:fill="ffffff"/>
          <w:rtl w:val="0"/>
          <w:lang w:val="zh-TW" w:eastAsia="zh-TW"/>
        </w:rPr>
        <w:t>電力結構目</w:t>
      </w:r>
      <w:r>
        <w:rPr>
          <w:rStyle w:val="無"/>
          <w:rFonts w:ascii="Microsoft JhengHei" w:cs="Microsoft JhengHei" w:hAnsi="Microsoft JhengHei" w:eastAsia="Microsoft JhengHei"/>
          <w:b w:val="1"/>
          <w:bCs w:val="1"/>
          <w:shd w:val="clear" w:color="auto" w:fill="ffffff"/>
          <w:rtl w:val="0"/>
          <w:lang w:val="zh-TW" w:eastAsia="zh-TW"/>
        </w:rPr>
        <w:t>標</w:t>
      </w:r>
    </w:p>
    <w:tbl>
      <w:tblPr>
        <w:tblW w:w="32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02"/>
        <w:gridCol w:w="690"/>
        <w:gridCol w:w="690"/>
        <w:gridCol w:w="690"/>
      </w:tblGrid>
      <w:tr>
        <w:tblPrEx>
          <w:shd w:val="clear" w:color="auto" w:fill="cadfff"/>
        </w:tblPrEx>
        <w:trPr>
          <w:trHeight w:val="577"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類別</w:t>
            </w:r>
            <w:r>
              <w:rPr>
                <w:rStyle w:val="無"/>
                <w:rFonts w:ascii="Arial" w:hAnsi="Arial"/>
                <w:sz w:val="20"/>
                <w:szCs w:val="20"/>
                <w:shd w:val="nil" w:color="auto" w:fill="auto"/>
                <w:rtl w:val="0"/>
                <w:lang w:val="en-US"/>
              </w:rPr>
              <w:t xml:space="preserve">\ </w:t>
            </w:r>
            <w:r>
              <w:rPr>
                <w:rStyle w:val="無"/>
                <w:rFonts w:ascii="Microsoft JhengHei" w:cs="Microsoft JhengHei" w:hAnsi="Microsoft JhengHei" w:eastAsia="Microsoft JhengHei" w:hint="eastAsia"/>
                <w:sz w:val="20"/>
                <w:szCs w:val="20"/>
                <w:shd w:val="nil" w:color="auto" w:fill="auto"/>
                <w:rtl w:val="0"/>
                <w:lang w:val="zh-TW" w:eastAsia="zh-TW"/>
              </w:rPr>
              <w:t>候選人</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賴清德</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侯友宜</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柯文哲</w:t>
            </w:r>
          </w:p>
        </w:tc>
      </w:tr>
      <w:tr>
        <w:tblPrEx>
          <w:shd w:val="clear" w:color="auto" w:fill="cadfff"/>
        </w:tblPrEx>
        <w:trPr>
          <w:trHeight w:val="290"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再生</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30%</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27%</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30%</w:t>
            </w:r>
          </w:p>
        </w:tc>
      </w:tr>
      <w:tr>
        <w:tblPrEx>
          <w:shd w:val="clear" w:color="auto" w:fill="cadfff"/>
        </w:tblPrEx>
        <w:trPr>
          <w:trHeight w:val="290"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燃氣</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50%</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45%</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45%</w:t>
            </w:r>
          </w:p>
        </w:tc>
      </w:tr>
      <w:tr>
        <w:tblPrEx>
          <w:shd w:val="clear" w:color="auto" w:fill="cadfff"/>
        </w:tblPrEx>
        <w:trPr>
          <w:trHeight w:val="290"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燃煤</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20%</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14%</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15%</w:t>
            </w:r>
          </w:p>
        </w:tc>
      </w:tr>
      <w:tr>
        <w:tblPrEx>
          <w:shd w:val="clear" w:color="auto" w:fill="cadfff"/>
        </w:tblPrEx>
        <w:trPr>
          <w:trHeight w:val="290"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核能</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0</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12%</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10%</w:t>
            </w:r>
          </w:p>
        </w:tc>
      </w:tr>
      <w:tr>
        <w:tblPrEx>
          <w:shd w:val="clear" w:color="auto" w:fill="cadfff"/>
        </w:tblPrEx>
        <w:trPr>
          <w:trHeight w:val="290" w:hRule="atLeast"/>
        </w:trPr>
        <w:tc>
          <w:tcPr>
            <w:tcW w:type="dxa" w:w="12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pPr>
            <w:r>
              <w:rPr>
                <w:rStyle w:val="無"/>
                <w:rFonts w:ascii="Microsoft JhengHei" w:cs="Microsoft JhengHei" w:hAnsi="Microsoft JhengHei" w:eastAsia="Microsoft JhengHei" w:hint="eastAsia"/>
                <w:sz w:val="20"/>
                <w:szCs w:val="20"/>
                <w:shd w:val="nil" w:color="auto" w:fill="auto"/>
                <w:rtl w:val="0"/>
                <w:lang w:val="zh-TW" w:eastAsia="zh-TW"/>
              </w:rPr>
              <w:t>其他</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0</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2%</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內文"/>
              <w:jc w:val="right"/>
            </w:pPr>
            <w:r>
              <w:rPr>
                <w:rStyle w:val="無"/>
                <w:rFonts w:ascii="Arial" w:hAnsi="Arial"/>
                <w:sz w:val="20"/>
                <w:szCs w:val="20"/>
                <w:shd w:val="nil" w:color="auto" w:fill="auto"/>
                <w:rtl w:val="0"/>
                <w:lang w:val="en-US"/>
              </w:rPr>
              <w:t>0</w:t>
            </w:r>
          </w:p>
        </w:tc>
      </w:tr>
    </w:tbl>
    <w:p>
      <w:pPr>
        <w:pStyle w:val="內文 A"/>
        <w:widowControl w:val="0"/>
      </w:pPr>
      <w:r>
        <w:rPr>
          <w:rStyle w:val="無"/>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MingLiU">
    <w:charset w:val="00"/>
    <w:family w:val="roman"/>
    <w:pitch w:val="default"/>
  </w:font>
  <w:font w:name="PingFang TC Semibold">
    <w:charset w:val="00"/>
    <w:family w:val="roman"/>
    <w:pitch w:val="default"/>
  </w:font>
  <w:font w:name="Microsoft JhengHe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A"/>
      <w:tabs>
        <w:tab w:val="center" w:pos="4819"/>
        <w:tab w:val="right" w:pos="9612"/>
        <w:tab w:val="clear" w:pos="9020"/>
      </w:tabs>
    </w:pPr>
    <w:r>
      <w:rPr>
        <w:lang w:val="en-US"/>
      </w:rPr>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r>
    <w:r>
      <w:rPr>
        <w:rtl w:val="0"/>
        <w:lang w:val="en-US"/>
      </w:rPr>
      <w:fldChar w:fldCharType="end" w:fldLock="0"/>
    </w:r>
    <w:r>
      <w:rPr>
        <w:rtl w:val="0"/>
        <w:lang w:val="zh-TW" w:eastAsia="zh-TW"/>
      </w:rPr>
      <w:t>/</w:t>
    </w:r>
    <w:r>
      <w:rPr>
        <w:rtl w:val="0"/>
        <w:lang w:val="en-US"/>
      </w:rPr>
      <w:fldChar w:fldCharType="begin" w:fldLock="0"/>
    </w:r>
    <w:r>
      <w:rPr>
        <w:rtl w:val="0"/>
        <w:lang w:val="en-US"/>
      </w:rPr>
      <w:instrText xml:space="preserve"> NUMPAGES </w:instrText>
    </w:r>
    <w:r>
      <w:rPr>
        <w:rtl w:val="0"/>
        <w:lang w:val="en-US"/>
      </w:rPr>
      <w:fldChar w:fldCharType="separate" w:fldLock="0"/>
    </w:r>
    <w:r>
      <w:rPr>
        <w:rtl w:val="0"/>
        <w:lang w:val="en-US"/>
      </w:rPr>
    </w:r>
    <w:r>
      <w:rPr>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56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24"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44"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64"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84"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04"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24"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44" w:hanging="4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64"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頁首與頁尾 A">
    <w:name w:val="頁首與頁尾 A"/>
    <w:next w:val="頁首與頁尾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標題 2 A">
    <w:name w:val="標題 2 A"/>
    <w:next w:val="標題 2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 w:type="paragraph" w:styleId="內文 A">
    <w:name w:val="內文 A"/>
    <w:next w:val="內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rPr>
      <w:u w:val="single"/>
    </w:rPr>
  </w:style>
  <w:style w:type="character" w:styleId="無">
    <w:name w:val="無"/>
  </w:style>
  <w:style w:type="character" w:styleId="Hyperlink.1">
    <w:name w:val="Hyperlink.1"/>
    <w:basedOn w:val="無"/>
    <w:next w:val="Hyperlink.1"/>
    <w:rPr>
      <w:rFonts w:ascii="Helvetica Neue" w:cs="Helvetica Neue" w:hAnsi="Helvetica Neue" w:eastAsia="Helvetica Neue"/>
      <w:b w:val="1"/>
      <w:bCs w:val="1"/>
      <w:sz w:val="28"/>
      <w:szCs w:val="28"/>
      <w:u w:val="single"/>
      <w:lang w:val="de-DE"/>
    </w:r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zh-TW" w:eastAsia="zh-TW"/>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