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44C7B" w:rsidRPr="00EF5F66" w:rsidRDefault="0064544D" w:rsidP="00EF5F66">
      <w:pPr>
        <w:spacing w:line="400" w:lineRule="atLeast"/>
        <w:jc w:val="right"/>
        <w:rPr>
          <w:rFonts w:ascii="微軟正黑體" w:eastAsia="微軟正黑體" w:hAnsi="微軟正黑體"/>
        </w:rPr>
      </w:pPr>
      <w:bookmarkStart w:id="0" w:name="_ikdvjatcxsp5" w:colFirst="0" w:colLast="0"/>
      <w:bookmarkEnd w:id="0"/>
      <w:r w:rsidRPr="00EF5F66">
        <w:rPr>
          <w:rFonts w:ascii="微軟正黑體" w:eastAsia="微軟正黑體" w:hAnsi="微軟正黑體"/>
        </w:rPr>
        <w:t>2023.6.5能源轉型推動聯盟新聞稿</w:t>
      </w:r>
    </w:p>
    <w:p w14:paraId="00000002" w14:textId="77777777" w:rsidR="00C44C7B" w:rsidRPr="00EF5F66" w:rsidRDefault="00C44C7B" w:rsidP="00EF5F66">
      <w:pPr>
        <w:spacing w:line="400" w:lineRule="atLeast"/>
        <w:rPr>
          <w:rFonts w:ascii="微軟正黑體" w:eastAsia="微軟正黑體" w:hAnsi="微軟正黑體"/>
        </w:rPr>
      </w:pPr>
      <w:bookmarkStart w:id="1" w:name="_tirn6tmg0q7x" w:colFirst="0" w:colLast="0"/>
      <w:bookmarkEnd w:id="1"/>
    </w:p>
    <w:p w14:paraId="00000003" w14:textId="77777777" w:rsidR="00C44C7B" w:rsidRPr="00EF5F66" w:rsidRDefault="0064544D" w:rsidP="00EF5F66">
      <w:pPr>
        <w:spacing w:line="400" w:lineRule="atLeast"/>
        <w:jc w:val="center"/>
        <w:rPr>
          <w:rFonts w:ascii="微軟正黑體" w:eastAsia="微軟正黑體" w:hAnsi="微軟正黑體"/>
          <w:b/>
          <w:bCs/>
          <w:sz w:val="28"/>
          <w:szCs w:val="28"/>
        </w:rPr>
      </w:pPr>
      <w:bookmarkStart w:id="2" w:name="_jo6qevdqf1qb" w:colFirst="0" w:colLast="0"/>
      <w:bookmarkEnd w:id="2"/>
      <w:r w:rsidRPr="00EF5F66">
        <w:rPr>
          <w:rFonts w:ascii="微軟正黑體" w:eastAsia="微軟正黑體" w:hAnsi="微軟正黑體"/>
          <w:b/>
          <w:bCs/>
          <w:sz w:val="28"/>
          <w:szCs w:val="28"/>
        </w:rPr>
        <w:t>響應環境日，六都跨黨派議員「淨零轉型地方連線」成立</w:t>
      </w:r>
    </w:p>
    <w:p w14:paraId="00000004" w14:textId="77777777" w:rsidR="00C44C7B" w:rsidRPr="00EF5F66" w:rsidRDefault="00C44C7B" w:rsidP="00EF5F66">
      <w:pPr>
        <w:spacing w:line="400" w:lineRule="atLeast"/>
        <w:rPr>
          <w:rFonts w:ascii="微軟正黑體" w:eastAsia="微軟正黑體" w:hAnsi="微軟正黑體"/>
        </w:rPr>
      </w:pPr>
    </w:p>
    <w:p w14:paraId="00000005" w14:textId="77777777" w:rsidR="00C44C7B" w:rsidRPr="00EF5F66" w:rsidRDefault="00C44C7B" w:rsidP="00EF5F66">
      <w:pPr>
        <w:spacing w:line="400" w:lineRule="atLeast"/>
        <w:rPr>
          <w:rFonts w:ascii="微軟正黑體" w:eastAsia="微軟正黑體" w:hAnsi="微軟正黑體"/>
        </w:rPr>
      </w:pPr>
    </w:p>
    <w:p w14:paraId="4D5C8829" w14:textId="6CEAA1CB" w:rsidR="00571B01" w:rsidRPr="00EF5F66" w:rsidRDefault="0064544D" w:rsidP="00EF5F66">
      <w:pPr>
        <w:spacing w:before="240" w:after="240" w:line="400" w:lineRule="atLeast"/>
        <w:rPr>
          <w:rFonts w:ascii="微軟正黑體" w:eastAsia="微軟正黑體" w:hAnsi="微軟正黑體" w:cs="Arial Unicode MS"/>
          <w:color w:val="222222"/>
          <w:sz w:val="24"/>
          <w:szCs w:val="24"/>
          <w:highlight w:val="white"/>
        </w:rPr>
      </w:pPr>
      <w:r w:rsidRPr="00EF5F66">
        <w:rPr>
          <w:rFonts w:ascii="微軟正黑體" w:eastAsia="微軟正黑體" w:hAnsi="微軟正黑體" w:cs="Arial Unicode MS"/>
          <w:color w:val="222222"/>
          <w:sz w:val="24"/>
          <w:szCs w:val="24"/>
          <w:highlight w:val="white"/>
        </w:rPr>
        <w:t>由全臺各地多個民間團體所組成的「能源轉型推動聯盟」（能轉盟）於世界環境日宣布成立「淨零轉型地方連線」，邀請六都議員共同響應，第一輪共有</w:t>
      </w:r>
      <w:r w:rsidR="00084395">
        <w:rPr>
          <w:rFonts w:ascii="微軟正黑體" w:eastAsia="微軟正黑體" w:hAnsi="微軟正黑體" w:cs="Arial Unicode MS" w:hint="eastAsia"/>
          <w:color w:val="222222"/>
          <w:sz w:val="24"/>
          <w:szCs w:val="24"/>
          <w:highlight w:val="white"/>
        </w:rPr>
        <w:t>8</w:t>
      </w:r>
      <w:r w:rsidR="006A178C">
        <w:rPr>
          <w:rFonts w:ascii="微軟正黑體" w:eastAsia="微軟正黑體" w:hAnsi="微軟正黑體" w:cs="Arial Unicode MS" w:hint="eastAsia"/>
          <w:color w:val="222222"/>
          <w:sz w:val="24"/>
          <w:szCs w:val="24"/>
          <w:highlight w:val="white"/>
        </w:rPr>
        <w:t>9</w:t>
      </w:r>
      <w:bookmarkStart w:id="3" w:name="_GoBack"/>
      <w:bookmarkEnd w:id="3"/>
      <w:r w:rsidRPr="00EF5F66">
        <w:rPr>
          <w:rFonts w:ascii="微軟正黑體" w:eastAsia="微軟正黑體" w:hAnsi="微軟正黑體" w:cs="Arial Unicode MS"/>
          <w:color w:val="222222"/>
          <w:sz w:val="24"/>
          <w:szCs w:val="24"/>
          <w:highlight w:val="white"/>
        </w:rPr>
        <w:t>位六都跨黨派議員加入，能轉盟表示將持續邀請更多議員，共同監督六都淨零政策的落實。</w:t>
      </w:r>
    </w:p>
    <w:p w14:paraId="00000008" w14:textId="77777777" w:rsidR="00C44C7B" w:rsidRPr="00EF5F66" w:rsidRDefault="0064544D" w:rsidP="00EF5F66">
      <w:pPr>
        <w:spacing w:before="240" w:after="240" w:line="400" w:lineRule="atLeast"/>
        <w:rPr>
          <w:rFonts w:ascii="微軟正黑體" w:eastAsia="微軟正黑體" w:hAnsi="微軟正黑體"/>
          <w:b/>
          <w:color w:val="222222"/>
          <w:sz w:val="24"/>
          <w:szCs w:val="24"/>
          <w:highlight w:val="white"/>
        </w:rPr>
      </w:pPr>
      <w:r w:rsidRPr="00EF5F66">
        <w:rPr>
          <w:rFonts w:ascii="微軟正黑體" w:eastAsia="微軟正黑體" w:hAnsi="微軟正黑體" w:cs="Arial Unicode MS"/>
          <w:b/>
          <w:color w:val="222222"/>
          <w:sz w:val="24"/>
          <w:szCs w:val="24"/>
          <w:highlight w:val="white"/>
        </w:rPr>
        <w:t>呼籲六都應強化中期減量目標、淨零法制基礎與預算規劃</w:t>
      </w:r>
    </w:p>
    <w:p w14:paraId="00000009" w14:textId="77777777" w:rsidR="00C44C7B" w:rsidRPr="00EF5F66" w:rsidRDefault="0064544D" w:rsidP="00EF5F66">
      <w:pPr>
        <w:spacing w:before="240" w:after="240" w:line="400" w:lineRule="atLeast"/>
        <w:rPr>
          <w:rFonts w:ascii="微軟正黑體" w:eastAsia="微軟正黑體" w:hAnsi="微軟正黑體"/>
          <w:color w:val="222222"/>
          <w:sz w:val="24"/>
          <w:szCs w:val="24"/>
          <w:highlight w:val="white"/>
        </w:rPr>
      </w:pPr>
      <w:r w:rsidRPr="00EF5F66">
        <w:rPr>
          <w:rFonts w:ascii="微軟正黑體" w:eastAsia="微軟正黑體" w:hAnsi="微軟正黑體" w:cs="Arial Unicode MS"/>
          <w:color w:val="222222"/>
          <w:sz w:val="24"/>
          <w:szCs w:val="24"/>
          <w:highlight w:val="white"/>
        </w:rPr>
        <w:t>綠色公民行動聯盟研究員陳詩婷指出，淨零排放已經成為全球因應氣候危機的共同任務，目前有超過100個國家、200個城市宣示淨零，臺灣在今年初已通過《氣候變遷因應法》，正式將2050淨零目標入法，包含六都的12個縣市也在這兩年內陸續宣示淨零。陳詩婷表示，綜觀六都雖皆已宣布淨零目標與路徑，但相關法規機制都尚未完備，目前僅有《臺北市</w:t>
      </w:r>
      <w:r w:rsidRPr="00EF5F66">
        <w:rPr>
          <w:rFonts w:ascii="微軟正黑體" w:eastAsia="微軟正黑體" w:hAnsi="微軟正黑體" w:cs="Arial Unicode MS"/>
          <w:color w:val="222222"/>
          <w:sz w:val="24"/>
          <w:szCs w:val="24"/>
        </w:rPr>
        <w:t>淨零排放管理自治條例》經議會三讀通過，但因部分條文牴觸全國性法規，需重新檢討再審；新北市、臺中市、高雄市的淨零相關自治條例則仍在草案階段，且法制架構完整度、規範積極度都十分不足，過程也還需要更多社會溝通；桃園則尚未啟動淨零自治條例的制定，需要加緊跟上。</w:t>
      </w:r>
    </w:p>
    <w:p w14:paraId="0000000A" w14:textId="77777777" w:rsidR="00C44C7B" w:rsidRPr="00EF5F66" w:rsidRDefault="0064544D"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綠色和平專案主任張皪心表示，目前六都訂出的2030年減量目標，除了臺北市、桃園市有較積極的40%，其他城市仍停留在30%，過於消極；在整體淨零路徑上，許多縣市中期減量目標與各局處的減量策略仍需完善、具科學基礎的評估，也需要加強因地制宜、與在地發展願景的整合。張皪心強調，淨零承諾能否落實，關鍵之一在於健全的自治條例，才能讓公部門整合各局處資源，依循清楚的目標、方法，真正動起來。</w:t>
      </w:r>
    </w:p>
    <w:p w14:paraId="45B162D4" w14:textId="0EF8BF8E" w:rsidR="002054F2" w:rsidRPr="00EF5F66" w:rsidRDefault="0064544D"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張皪心指出，地方推動淨零需要充足的預算支持，藉由預算分配整合過往分散各局處的相關環境與能源業務，對應各階段減量目標與策略，將資源進行更完整的評估與有效的配置，並使得長期淨零目標轉化為短中期內可具體執行與檢核的政策，連結各部門及局處之行動計畫，且在預算規劃後應建立監測和評估機制，並參考如臺北市氣候預算編列之作法，由主計處編列別冊，明確呈現預算來源、用途與對應之權責分工，作為預算使用成效的評估基礎，幫助後續調整預算分配，並透過資訊的公開透明，讓政策受到議會、民眾監督。</w:t>
      </w:r>
    </w:p>
    <w:p w14:paraId="6B1F64C8" w14:textId="77777777" w:rsidR="0064544D" w:rsidRDefault="0064544D" w:rsidP="00EF5F66">
      <w:pPr>
        <w:spacing w:before="240" w:after="240" w:line="400" w:lineRule="atLeast"/>
        <w:rPr>
          <w:rFonts w:ascii="微軟正黑體" w:eastAsia="微軟正黑體" w:hAnsi="微軟正黑體" w:cs="Arial Unicode MS"/>
          <w:b/>
          <w:sz w:val="24"/>
          <w:szCs w:val="24"/>
        </w:rPr>
      </w:pPr>
    </w:p>
    <w:p w14:paraId="3C0B4896" w14:textId="77777777" w:rsidR="0064544D" w:rsidRDefault="0064544D" w:rsidP="00EF5F66">
      <w:pPr>
        <w:spacing w:before="240" w:after="240" w:line="400" w:lineRule="atLeast"/>
        <w:rPr>
          <w:rFonts w:ascii="微軟正黑體" w:eastAsia="微軟正黑體" w:hAnsi="微軟正黑體" w:cs="Arial Unicode MS"/>
          <w:b/>
          <w:sz w:val="24"/>
          <w:szCs w:val="24"/>
        </w:rPr>
      </w:pPr>
    </w:p>
    <w:p w14:paraId="0000000D" w14:textId="2E6A38A1" w:rsidR="00C44C7B" w:rsidRPr="00EF5F66" w:rsidRDefault="0064544D" w:rsidP="00EF5F66">
      <w:pPr>
        <w:spacing w:before="240" w:after="240" w:line="400" w:lineRule="atLeast"/>
        <w:rPr>
          <w:rFonts w:ascii="微軟正黑體" w:eastAsia="微軟正黑體" w:hAnsi="微軟正黑體"/>
          <w:b/>
          <w:sz w:val="24"/>
          <w:szCs w:val="24"/>
        </w:rPr>
      </w:pPr>
      <w:r w:rsidRPr="00EF5F66">
        <w:rPr>
          <w:rFonts w:ascii="微軟正黑體" w:eastAsia="微軟正黑體" w:hAnsi="微軟正黑體" w:cs="Arial Unicode MS"/>
          <w:b/>
          <w:sz w:val="24"/>
          <w:szCs w:val="24"/>
        </w:rPr>
        <w:lastRenderedPageBreak/>
        <w:t>淨零轉型須基於公民參與和公正轉型</w:t>
      </w:r>
    </w:p>
    <w:p w14:paraId="1EE18B8A" w14:textId="77777777" w:rsidR="006A178C" w:rsidRPr="00EF5F66" w:rsidRDefault="0064544D" w:rsidP="006A178C">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主婦聯盟環境保護基金會資深主任吳心萍表示，在淨零12項戰略中，除了能源轉型外也包含公正轉型，強調不應該有任何人在淨零的路上被遺漏和犧牲。她指出，</w:t>
      </w:r>
      <w:r w:rsidR="006A178C" w:rsidRPr="00EF5F66">
        <w:rPr>
          <w:rFonts w:ascii="微軟正黑體" w:eastAsia="微軟正黑體" w:hAnsi="微軟正黑體" w:cs="Arial Unicode MS"/>
          <w:sz w:val="24"/>
          <w:szCs w:val="24"/>
        </w:rPr>
        <w:t>民間雖樂見綠能發展越來越具規模性，卻不樂見部分綠能開發案在僅有商業利益考量下衝擊在地社區與產業，應借鏡德國及日本透過綠能發展，來振興農村、復甦農業及地方創生的案例，由社區公民主導推動再生能源事業的發展，同時有效提升社區共識、消除地方的不安，用與地方共好而非衝突的方式來推動再生能源，期許台灣的地方政府也能擔任再生能源發展的守門人，發展因地制宜、與地方共榮的再生能源形式。</w:t>
      </w:r>
    </w:p>
    <w:p w14:paraId="00000010" w14:textId="20553DD6" w:rsidR="00C44C7B" w:rsidRPr="00EF5F66" w:rsidRDefault="0064544D" w:rsidP="00EF5F66">
      <w:pPr>
        <w:spacing w:before="240" w:after="240" w:line="400" w:lineRule="atLeast"/>
        <w:rPr>
          <w:rFonts w:ascii="微軟正黑體" w:eastAsia="微軟正黑體" w:hAnsi="微軟正黑體"/>
          <w:b/>
          <w:sz w:val="24"/>
          <w:szCs w:val="24"/>
        </w:rPr>
      </w:pPr>
      <w:r w:rsidRPr="00EF5F66">
        <w:rPr>
          <w:rFonts w:ascii="微軟正黑體" w:eastAsia="微軟正黑體" w:hAnsi="微軟正黑體" w:cs="Arial Unicode MS"/>
          <w:sz w:val="24"/>
          <w:szCs w:val="24"/>
        </w:rPr>
        <w:t>吳心萍也</w:t>
      </w:r>
      <w:r w:rsidR="006A178C">
        <w:rPr>
          <w:rFonts w:ascii="微軟正黑體" w:eastAsia="微軟正黑體" w:hAnsi="微軟正黑體" w:cs="Arial Unicode MS" w:hint="eastAsia"/>
          <w:sz w:val="24"/>
          <w:szCs w:val="24"/>
        </w:rPr>
        <w:t>表示</w:t>
      </w:r>
      <w:r w:rsidRPr="00EF5F66">
        <w:rPr>
          <w:rFonts w:ascii="微軟正黑體" w:eastAsia="微軟正黑體" w:hAnsi="微軟正黑體" w:cs="Arial Unicode MS"/>
          <w:sz w:val="24"/>
          <w:szCs w:val="24"/>
        </w:rPr>
        <w:t>，過往透過中央的經費執行縣市共推住商節電行動，各地方都有針對弱勢家庭協助更換家電以節省開支，然而對弱勢家庭的支持，不該在中央的計畫終止後也跟著停止，許多弱勢家庭為了節電，晚上不敢開燈、天熱不敢吹冷氣；有些公益收容中心，接收二手家電，但這些二手家電卻更為耗電，導致付出的電費更高。這些問題都需要縣市政府持續關心，才能讓弱勢家庭、照護機構，不會成為淨零轉型過程被遺漏的一環。</w:t>
      </w:r>
    </w:p>
    <w:p w14:paraId="00000011" w14:textId="77777777" w:rsidR="00C44C7B" w:rsidRPr="00EF5F66" w:rsidRDefault="0064544D"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Arial Unicode MS"/>
          <w:b/>
          <w:sz w:val="24"/>
          <w:szCs w:val="24"/>
        </w:rPr>
        <w:t>縣市政府應保障市民公平參與綠能發展、共享綠能利益</w:t>
      </w:r>
    </w:p>
    <w:p w14:paraId="00000012" w14:textId="77777777" w:rsidR="00C44C7B" w:rsidRPr="00EF5F66" w:rsidRDefault="0064544D"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台灣再生能源推動聯盟秘書長高茹萍表示，要讓下一代擁有安全可靠並對環境友善的能源，關鍵在於讓在地民眾有感，期待能藉由六都民代的力量監督政府，要求政府拿出魄力解決民眾參與投資公民電廠的層層關卡，包括提升投資公民電廠的誘因、設置單一窗口、簡化申設流程，以增加市民參與綠能的意願，並釋出公有房舍供在地民眾投資、確保在地民眾得以公平享有再生能源發展的的紅利，除了經濟層面的好處外也能提升居住品質、城市環境品質，落實綠能的市民參與、綠能利益的市民共享。</w:t>
      </w:r>
    </w:p>
    <w:p w14:paraId="00000015" w14:textId="77777777" w:rsidR="00C44C7B" w:rsidRPr="00EF5F66" w:rsidRDefault="0064544D"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Arial Unicode MS"/>
          <w:b/>
          <w:sz w:val="24"/>
          <w:szCs w:val="24"/>
        </w:rPr>
        <w:t>讓市民有感、共同改變，政策也要落實生活淨零轉型</w:t>
      </w:r>
    </w:p>
    <w:p w14:paraId="666E301B" w14:textId="17EC8301" w:rsidR="002054F2" w:rsidRPr="0064544D" w:rsidRDefault="0064544D" w:rsidP="00EF5F66">
      <w:pPr>
        <w:spacing w:before="240" w:after="240" w:line="400" w:lineRule="atLeast"/>
        <w:rPr>
          <w:rFonts w:ascii="微軟正黑體" w:eastAsia="微軟正黑體" w:hAnsi="微軟正黑體" w:cs="SimSun"/>
          <w:color w:val="222222"/>
          <w:sz w:val="24"/>
          <w:szCs w:val="24"/>
          <w:highlight w:val="white"/>
        </w:rPr>
      </w:pPr>
      <w:r w:rsidRPr="00EF5F66">
        <w:rPr>
          <w:rFonts w:ascii="微軟正黑體" w:eastAsia="微軟正黑體" w:hAnsi="微軟正黑體" w:cs="Arial Unicode MS"/>
          <w:sz w:val="24"/>
          <w:szCs w:val="24"/>
        </w:rPr>
        <w:t>荒野保護協會林君蘭常務理事表示，</w:t>
      </w:r>
      <w:r w:rsidRPr="00EF5F66">
        <w:rPr>
          <w:rFonts w:ascii="微軟正黑體" w:eastAsia="微軟正黑體" w:hAnsi="微軟正黑體" w:cs="SimSun"/>
          <w:color w:val="222222"/>
          <w:sz w:val="24"/>
          <w:szCs w:val="24"/>
          <w:highlight w:val="white"/>
        </w:rPr>
        <w:t>臺灣2050淨零排放第10項關鍵戰略明白指出「達成淨零目標的重要關鍵，在於啟動淨零綠生活，訂定綠生活指引引導⺠眾改變生活中的消費使用行為。」而城市治理刻不容緩的任務，正是具體訂定市民生活的行為指引。林君蘭指出，檢視目前六都有關淨零、低碳、氣候變遷因應等自治條例，距離確實推動淨零生活轉型還有很大的改進空間。其中關於廢棄物源頭減量及推動循環容器等作法，桃園市仍停留在政策宣導階段，高雄市僅提供補助而無強力的法條規範，台中市則是交了白卷。另外在低碳飲食方面，台北市沒有任何著墨、新北市有單位任務指派卻沒有實質推動方向、桃園市僅推廣地產地消、台中市及台南有一日蔬食政令、高雄市則是推廣友善環境農業，各地落差極大，期待透過議員連線的力量，督促六都市府團隊打造低碳飲食生活、創造真正有效果的分享循環經濟，確保市民擁有良好的健康與福祉。</w:t>
      </w:r>
    </w:p>
    <w:p w14:paraId="00000017" w14:textId="77777777" w:rsidR="00C44C7B" w:rsidRPr="00EF5F66" w:rsidRDefault="0064544D" w:rsidP="00EF5F66">
      <w:pPr>
        <w:spacing w:before="240" w:after="240" w:line="400" w:lineRule="atLeast"/>
        <w:rPr>
          <w:rFonts w:ascii="微軟正黑體" w:eastAsia="微軟正黑體" w:hAnsi="微軟正黑體"/>
          <w:b/>
          <w:color w:val="222222"/>
          <w:sz w:val="24"/>
          <w:szCs w:val="24"/>
          <w:highlight w:val="white"/>
        </w:rPr>
      </w:pPr>
      <w:r w:rsidRPr="00EF5F66">
        <w:rPr>
          <w:rFonts w:ascii="微軟正黑體" w:eastAsia="微軟正黑體" w:hAnsi="微軟正黑體" w:cs="Arial Unicode MS"/>
          <w:b/>
          <w:color w:val="222222"/>
          <w:sz w:val="24"/>
          <w:szCs w:val="24"/>
          <w:highlight w:val="white"/>
        </w:rPr>
        <w:lastRenderedPageBreak/>
        <w:t>人本公共運輸環境才是交通淨零關鍵</w:t>
      </w:r>
    </w:p>
    <w:p w14:paraId="00000019" w14:textId="676A6F0A" w:rsidR="00C44C7B" w:rsidRPr="00EF5F66" w:rsidRDefault="0064544D" w:rsidP="00EF5F66">
      <w:pPr>
        <w:spacing w:before="240" w:after="240" w:line="400" w:lineRule="atLeast"/>
        <w:rPr>
          <w:rFonts w:ascii="微軟正黑體" w:eastAsia="微軟正黑體" w:hAnsi="微軟正黑體"/>
          <w:color w:val="222222"/>
          <w:sz w:val="24"/>
          <w:szCs w:val="24"/>
          <w:highlight w:val="white"/>
        </w:rPr>
      </w:pPr>
      <w:r w:rsidRPr="00EF5F66">
        <w:rPr>
          <w:rFonts w:ascii="微軟正黑體" w:eastAsia="微軟正黑體" w:hAnsi="微軟正黑體" w:cs="Arial Unicode MS"/>
          <w:color w:val="222222"/>
          <w:sz w:val="24"/>
          <w:szCs w:val="24"/>
          <w:highlight w:val="white"/>
        </w:rPr>
        <w:t>針對綠運輸政策，</w:t>
      </w:r>
      <w:r w:rsidRPr="00EF5F66">
        <w:rPr>
          <w:rFonts w:ascii="微軟正黑體" w:eastAsia="微軟正黑體" w:hAnsi="微軟正黑體" w:cs="Arial Unicode MS"/>
          <w:sz w:val="24"/>
          <w:szCs w:val="24"/>
        </w:rPr>
        <w:t>林君蘭指出</w:t>
      </w:r>
      <w:r w:rsidRPr="00EF5F66">
        <w:rPr>
          <w:rFonts w:ascii="微軟正黑體" w:eastAsia="微軟正黑體" w:hAnsi="微軟正黑體" w:cs="Arial Unicode MS"/>
          <w:color w:val="222222"/>
          <w:sz w:val="24"/>
          <w:szCs w:val="24"/>
          <w:highlight w:val="white"/>
        </w:rPr>
        <w:t>國際上早已訂定減量、移轉、技術改善三大主軸策略，以減少移動需求為主、大眾運輸為輔，最後手段才是電動化取代燃油車，強調應設法減少私人運具，營造安全便捷且低碳的交通環境，才能達到運輸減碳的目標。</w:t>
      </w:r>
      <w:r w:rsidRPr="00EF5F66">
        <w:rPr>
          <w:rFonts w:ascii="微軟正黑體" w:eastAsia="微軟正黑體" w:hAnsi="微軟正黑體" w:cs="Arial Unicode MS"/>
          <w:sz w:val="24"/>
          <w:szCs w:val="24"/>
        </w:rPr>
        <w:t>林君蘭表示，</w:t>
      </w:r>
      <w:r w:rsidRPr="00EF5F66">
        <w:rPr>
          <w:rFonts w:ascii="微軟正黑體" w:eastAsia="微軟正黑體" w:hAnsi="微軟正黑體" w:cs="Arial Unicode MS"/>
          <w:color w:val="222222"/>
          <w:sz w:val="24"/>
          <w:szCs w:val="24"/>
          <w:highlight w:val="white"/>
        </w:rPr>
        <w:t>檢視六都的施政重點，多集中在鼓勵使用電動車等低碳運具，雖有大眾運輸優惠方案卻缺乏具體利用目標，導致這些措施並沒有明顯提升大眾運輸的旅運人次，也無法吸引機車族及自用車駕駛改變習慣。林君蘭強調，惟有系統性地思考市民移動需求，以人為本設計多元組合的公共運輸與運具共享服務，讓用路人負擔合理交通成本，才有機會使資源和智慧科技運用在建設潔淨安全的城市，期待民意代表加強監督，促使政府從問題根本提出城市綠運輸的解決之道。</w:t>
      </w:r>
    </w:p>
    <w:p w14:paraId="0000001A" w14:textId="77777777" w:rsidR="00C44C7B" w:rsidRPr="00EF5F66" w:rsidRDefault="0064544D" w:rsidP="00EF5F66">
      <w:pPr>
        <w:spacing w:before="240" w:after="240" w:line="400" w:lineRule="atLeast"/>
        <w:rPr>
          <w:rFonts w:ascii="微軟正黑體" w:eastAsia="微軟正黑體" w:hAnsi="微軟正黑體"/>
          <w:b/>
          <w:color w:val="222222"/>
          <w:sz w:val="24"/>
          <w:szCs w:val="24"/>
          <w:highlight w:val="white"/>
        </w:rPr>
      </w:pPr>
      <w:r w:rsidRPr="00EF5F66">
        <w:rPr>
          <w:rFonts w:ascii="微軟正黑體" w:eastAsia="微軟正黑體" w:hAnsi="微軟正黑體" w:cs="Arial Unicode MS"/>
          <w:b/>
          <w:color w:val="222222"/>
          <w:sz w:val="24"/>
          <w:szCs w:val="24"/>
          <w:highlight w:val="white"/>
        </w:rPr>
        <w:t>邁向淨零，中央、地方須攜手同行</w:t>
      </w:r>
    </w:p>
    <w:p w14:paraId="0000001B" w14:textId="77777777" w:rsidR="00C44C7B" w:rsidRPr="00EF5F66" w:rsidRDefault="0064544D"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詩婷最後強調，近期有許多縣市都在進行淨零自治條例的修訂，需要外界共同監督，也邀請更多關心永續、環境議題的議員加入連線，未來將持續透過連線進行淨零政策的資訊交流與倡議監督，確保六都的淨零承諾不只是口號。陳詩婷並呼籲中央政府，在氣候變遷因應法三讀通過後，臺灣要達成2050淨零排放的艱鉅任務，勢必需強化中央、地方政府間的合作，尤其是長期資源的提供、協助能力建構並且強化中央與地方法規的整合與互補。在《再生能源發展條例》修正通過後，中央也更應加緊腳步制定明確的能源部門空間計畫，讓縣市政府有所依循、轉型過程也更能與地方共榮。陳詩婷也表示，許多縣市政府已經積極展現對淨零目標的重視，淨零也成為許多選民關注的議題，呼籲明年大選的總統候選人也應更重視、端出真正符合全球淨零趨勢的政見。</w:t>
      </w:r>
    </w:p>
    <w:p w14:paraId="2DF409D0" w14:textId="77777777" w:rsidR="0064544D" w:rsidRPr="00EF5F66" w:rsidRDefault="0064544D" w:rsidP="00EF5F66">
      <w:pPr>
        <w:spacing w:before="240" w:after="240" w:line="400" w:lineRule="atLeast"/>
        <w:rPr>
          <w:rFonts w:ascii="微軟正黑體" w:eastAsia="微軟正黑體" w:hAnsi="微軟正黑體" w:hint="eastAsia"/>
          <w:sz w:val="24"/>
          <w:szCs w:val="24"/>
        </w:rPr>
      </w:pPr>
    </w:p>
    <w:p w14:paraId="63FAD775" w14:textId="174B48D1" w:rsidR="00EF5F66" w:rsidRPr="00EF5F66" w:rsidRDefault="00EF5F66"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微軟正黑體" w:hint="eastAsia"/>
          <w:b/>
          <w:sz w:val="24"/>
          <w:szCs w:val="24"/>
        </w:rPr>
        <w:t>「淨零轉型地方連線」邀請議員共同響應六大宣言：</w:t>
      </w:r>
    </w:p>
    <w:p w14:paraId="5D86903C" w14:textId="1986D089" w:rsidR="002054F2" w:rsidRPr="00EF5F66" w:rsidRDefault="002054F2"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hint="eastAsia"/>
          <w:sz w:val="24"/>
          <w:szCs w:val="24"/>
        </w:rPr>
        <w:t>1. 我願意監督地方政府提出積極的政策目標、路徑與自治條例，真正邁向淨零轉型。</w:t>
      </w:r>
    </w:p>
    <w:p w14:paraId="0E5837F9" w14:textId="77777777" w:rsidR="002054F2" w:rsidRPr="00EF5F66" w:rsidRDefault="002054F2"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hint="eastAsia"/>
          <w:sz w:val="24"/>
          <w:szCs w:val="24"/>
        </w:rPr>
        <w:t>2. 我願意監督地方政府規劃完善的氣候預算並落實公開透明，讓政策能落實並受到檢視。</w:t>
      </w:r>
    </w:p>
    <w:p w14:paraId="69680DB1" w14:textId="77777777" w:rsidR="002054F2" w:rsidRPr="00EF5F66" w:rsidRDefault="002054F2"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hint="eastAsia"/>
          <w:sz w:val="24"/>
          <w:szCs w:val="24"/>
        </w:rPr>
        <w:t>3. 我願意監督地方政府在淨零政策制定過程落實多元利害關係人的參與，讓轉型過程也確保公正轉型。</w:t>
      </w:r>
    </w:p>
    <w:p w14:paraId="57E22F05" w14:textId="77777777" w:rsidR="002054F2" w:rsidRPr="00EF5F66" w:rsidRDefault="002054F2"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hint="eastAsia"/>
          <w:sz w:val="24"/>
          <w:szCs w:val="24"/>
        </w:rPr>
        <w:t>4. 我願意監督地方政府確保在地民眾公平參與再生能源發展的權利，讓綠能利益能由全民共享。</w:t>
      </w:r>
    </w:p>
    <w:p w14:paraId="1B32A5FD" w14:textId="77777777" w:rsidR="002054F2" w:rsidRPr="00EF5F66" w:rsidRDefault="002054F2"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hint="eastAsia"/>
          <w:sz w:val="24"/>
          <w:szCs w:val="24"/>
        </w:rPr>
        <w:lastRenderedPageBreak/>
        <w:t>5. 我願意監督地方政府推動淨零的生活轉型，如校園與商圈的循環容器、低碳飲食等政策，讓市民的日常也能落實淨零。</w:t>
      </w:r>
    </w:p>
    <w:p w14:paraId="671B0B21" w14:textId="78E74549" w:rsidR="002054F2" w:rsidRDefault="002054F2"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hint="eastAsia"/>
          <w:sz w:val="24"/>
          <w:szCs w:val="24"/>
        </w:rPr>
        <w:t>6. 我願意監督地方政府訂定全面的綠運輸政策，如更完整的公共運輸系統、人本交通規劃等，打造安全、健康且便捷的在地交通環境。</w:t>
      </w:r>
    </w:p>
    <w:p w14:paraId="5B59FA9A" w14:textId="77777777" w:rsidR="0064544D" w:rsidRPr="00EF5F66" w:rsidRDefault="0064544D" w:rsidP="00EF5F66">
      <w:pPr>
        <w:spacing w:before="240" w:after="240" w:line="400" w:lineRule="atLeast"/>
        <w:rPr>
          <w:rFonts w:ascii="微軟正黑體" w:eastAsia="微軟正黑體" w:hAnsi="微軟正黑體"/>
          <w:sz w:val="24"/>
          <w:szCs w:val="24"/>
        </w:rPr>
      </w:pPr>
    </w:p>
    <w:p w14:paraId="0000001D" w14:textId="31182422" w:rsidR="00C44C7B" w:rsidRPr="00EF5F66" w:rsidRDefault="0064544D" w:rsidP="00EF5F66">
      <w:pPr>
        <w:spacing w:before="240" w:after="240" w:line="400" w:lineRule="atLeast"/>
        <w:rPr>
          <w:rFonts w:ascii="微軟正黑體" w:eastAsia="微軟正黑體" w:hAnsi="微軟正黑體"/>
          <w:b/>
          <w:sz w:val="24"/>
          <w:szCs w:val="24"/>
        </w:rPr>
      </w:pPr>
      <w:r w:rsidRPr="00EF5F66">
        <w:rPr>
          <w:rFonts w:ascii="微軟正黑體" w:eastAsia="微軟正黑體" w:hAnsi="微軟正黑體" w:cs="Arial Unicode MS"/>
          <w:b/>
          <w:sz w:val="24"/>
          <w:szCs w:val="24"/>
        </w:rPr>
        <w:t>「淨零轉型地方連線」第一波</w:t>
      </w:r>
      <w:r w:rsidR="002054F2" w:rsidRPr="00EF5F66">
        <w:rPr>
          <w:rFonts w:ascii="微軟正黑體" w:eastAsia="微軟正黑體" w:hAnsi="微軟正黑體" w:cs="Arial Unicode MS" w:hint="eastAsia"/>
          <w:b/>
          <w:sz w:val="24"/>
          <w:szCs w:val="24"/>
        </w:rPr>
        <w:t>議員</w:t>
      </w:r>
      <w:r w:rsidRPr="00EF5F66">
        <w:rPr>
          <w:rFonts w:ascii="微軟正黑體" w:eastAsia="微軟正黑體" w:hAnsi="微軟正黑體" w:cs="Arial Unicode MS"/>
          <w:b/>
          <w:sz w:val="24"/>
          <w:szCs w:val="24"/>
        </w:rPr>
        <w:t>響應名單</w:t>
      </w:r>
    </w:p>
    <w:p w14:paraId="0000001E" w14:textId="77777777" w:rsidR="00C44C7B" w:rsidRPr="00EF5F66" w:rsidRDefault="0064544D" w:rsidP="00EF5F66">
      <w:pPr>
        <w:spacing w:before="240" w:after="240" w:line="400" w:lineRule="atLeast"/>
        <w:rPr>
          <w:rFonts w:ascii="微軟正黑體" w:eastAsia="微軟正黑體" w:hAnsi="微軟正黑體"/>
          <w:sz w:val="24"/>
          <w:szCs w:val="24"/>
        </w:rPr>
      </w:pPr>
      <w:r w:rsidRPr="00EF5F66">
        <w:rPr>
          <w:rFonts w:ascii="微軟正黑體" w:eastAsia="微軟正黑體" w:hAnsi="微軟正黑體" w:cs="Arial Unicode MS"/>
          <w:b/>
          <w:sz w:val="24"/>
          <w:szCs w:val="24"/>
        </w:rPr>
        <w:t>（按縣市及姓氏筆畫排列）</w:t>
      </w:r>
    </w:p>
    <w:p w14:paraId="0000001F" w14:textId="6B2E80B7" w:rsidR="00C44C7B" w:rsidRPr="00EF5F66" w:rsidRDefault="0064544D" w:rsidP="00EF5F66">
      <w:pPr>
        <w:spacing w:line="400" w:lineRule="atLeast"/>
        <w:rPr>
          <w:rFonts w:ascii="微軟正黑體" w:eastAsia="微軟正黑體" w:hAnsi="微軟正黑體"/>
          <w:sz w:val="24"/>
          <w:szCs w:val="24"/>
        </w:rPr>
      </w:pPr>
      <w:bookmarkStart w:id="4" w:name="_jpy3grq6rthk" w:colFirst="0" w:colLast="0"/>
      <w:bookmarkEnd w:id="4"/>
      <w:r w:rsidRPr="00EF5F66">
        <w:rPr>
          <w:rFonts w:ascii="微軟正黑體" w:eastAsia="微軟正黑體" w:hAnsi="微軟正黑體"/>
          <w:sz w:val="24"/>
          <w:szCs w:val="24"/>
        </w:rPr>
        <w:t>臺北市議員</w:t>
      </w:r>
      <w:r w:rsidR="002054F2" w:rsidRPr="00EF5F66">
        <w:rPr>
          <w:rFonts w:ascii="微軟正黑體" w:eastAsia="微軟正黑體" w:hAnsi="微軟正黑體" w:hint="eastAsia"/>
          <w:sz w:val="24"/>
          <w:szCs w:val="24"/>
        </w:rPr>
        <w:t>：</w:t>
      </w:r>
    </w:p>
    <w:p w14:paraId="00000020"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王閔生（民）</w:t>
      </w:r>
    </w:p>
    <w:p w14:paraId="00000021"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吳沛憶（民）</w:t>
      </w:r>
    </w:p>
    <w:p w14:paraId="00000022"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李建昌（民）</w:t>
      </w:r>
    </w:p>
    <w:p w14:paraId="00000023"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林亮君（無）</w:t>
      </w:r>
    </w:p>
    <w:p w14:paraId="00000024"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林珍羽（眾）</w:t>
      </w:r>
    </w:p>
    <w:p w14:paraId="00000025"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洪健益（民）</w:t>
      </w:r>
    </w:p>
    <w:p w14:paraId="00000026"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洪婉臻（民）</w:t>
      </w:r>
    </w:p>
    <w:p w14:paraId="00000027"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苗博雅（社）</w:t>
      </w:r>
    </w:p>
    <w:p w14:paraId="00000028"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徐立信（無）</w:t>
      </w:r>
    </w:p>
    <w:p w14:paraId="00000029"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張志豪（眾）</w:t>
      </w:r>
    </w:p>
    <w:p w14:paraId="0000002A"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許家蓓（民）</w:t>
      </w:r>
    </w:p>
    <w:p w14:paraId="0000002B"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陳怡君（民）</w:t>
      </w:r>
    </w:p>
    <w:p w14:paraId="0000002C"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陳炳甫（國）</w:t>
      </w:r>
    </w:p>
    <w:p w14:paraId="0000002D"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陳慈慧（民）</w:t>
      </w:r>
    </w:p>
    <w:p w14:paraId="0000002E"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陳賢蔚（民）</w:t>
      </w:r>
    </w:p>
    <w:p w14:paraId="0000002F"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黃瀞瑩（眾）</w:t>
      </w:r>
    </w:p>
    <w:p w14:paraId="00000030"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詹為元（國）</w:t>
      </w:r>
    </w:p>
    <w:p w14:paraId="00000031"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趙怡翔（民）</w:t>
      </w:r>
    </w:p>
    <w:p w14:paraId="00000032"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戴錫欽（國）</w:t>
      </w:r>
    </w:p>
    <w:p w14:paraId="00000033"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鍾佩玲（民）</w:t>
      </w:r>
    </w:p>
    <w:p w14:paraId="00000034"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簡舒培（民）</w:t>
      </w:r>
    </w:p>
    <w:p w14:paraId="00000035" w14:textId="77777777" w:rsidR="00C44C7B" w:rsidRPr="00EF5F66" w:rsidRDefault="0064544D" w:rsidP="00EF5F66">
      <w:pPr>
        <w:widowControl w:val="0"/>
        <w:numPr>
          <w:ilvl w:val="0"/>
          <w:numId w:val="1"/>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顏若芳（民）</w:t>
      </w:r>
    </w:p>
    <w:p w14:paraId="27A44E77" w14:textId="0131F2A5" w:rsidR="00084395" w:rsidRDefault="00084395" w:rsidP="00084395">
      <w:pPr>
        <w:rPr>
          <w:rFonts w:ascii="微軟正黑體" w:eastAsia="微軟正黑體" w:hAnsi="微軟正黑體"/>
          <w:sz w:val="24"/>
          <w:szCs w:val="24"/>
        </w:rPr>
      </w:pPr>
      <w:bookmarkStart w:id="5" w:name="_1nk3insby46c" w:colFirst="0" w:colLast="0"/>
      <w:bookmarkEnd w:id="5"/>
    </w:p>
    <w:p w14:paraId="74364462" w14:textId="77777777" w:rsidR="006A178C" w:rsidRDefault="006A178C" w:rsidP="00084395">
      <w:pPr>
        <w:rPr>
          <w:rFonts w:ascii="微軟正黑體" w:eastAsia="微軟正黑體" w:hAnsi="微軟正黑體" w:hint="eastAsia"/>
          <w:sz w:val="24"/>
          <w:szCs w:val="24"/>
        </w:rPr>
      </w:pPr>
    </w:p>
    <w:p w14:paraId="00000036" w14:textId="0920705E" w:rsidR="00C44C7B" w:rsidRPr="00084395" w:rsidRDefault="0064544D" w:rsidP="00084395">
      <w:pPr>
        <w:rPr>
          <w:rFonts w:ascii="微軟正黑體" w:eastAsia="微軟正黑體" w:hAnsi="微軟正黑體"/>
          <w:sz w:val="24"/>
          <w:szCs w:val="24"/>
        </w:rPr>
      </w:pPr>
      <w:r w:rsidRPr="00084395">
        <w:rPr>
          <w:rFonts w:ascii="微軟正黑體" w:eastAsia="微軟正黑體" w:hAnsi="微軟正黑體"/>
          <w:sz w:val="24"/>
          <w:szCs w:val="24"/>
        </w:rPr>
        <w:lastRenderedPageBreak/>
        <w:t>新北市議員</w:t>
      </w:r>
      <w:r w:rsidR="00084395">
        <w:rPr>
          <w:rFonts w:ascii="微軟正黑體" w:eastAsia="微軟正黑體" w:hAnsi="微軟正黑體" w:hint="eastAsia"/>
          <w:sz w:val="24"/>
          <w:szCs w:val="24"/>
        </w:rPr>
        <w:t>：</w:t>
      </w:r>
    </w:p>
    <w:p w14:paraId="00000037" w14:textId="77777777" w:rsidR="00C44C7B" w:rsidRPr="00EF5F66" w:rsidRDefault="0064544D" w:rsidP="00EF5F66">
      <w:pPr>
        <w:numPr>
          <w:ilvl w:val="0"/>
          <w:numId w:val="4"/>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李倩萍（民）</w:t>
      </w:r>
    </w:p>
    <w:p w14:paraId="00000038" w14:textId="77777777" w:rsidR="00C44C7B" w:rsidRPr="00EF5F66" w:rsidRDefault="0064544D" w:rsidP="00EF5F66">
      <w:pPr>
        <w:numPr>
          <w:ilvl w:val="0"/>
          <w:numId w:val="4"/>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卓冠廷（民）</w:t>
      </w:r>
    </w:p>
    <w:p w14:paraId="00000039" w14:textId="77777777" w:rsidR="00C44C7B" w:rsidRPr="00EF5F66" w:rsidRDefault="0064544D" w:rsidP="00EF5F66">
      <w:pPr>
        <w:numPr>
          <w:ilvl w:val="0"/>
          <w:numId w:val="4"/>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許昭興（民）</w:t>
      </w:r>
    </w:p>
    <w:p w14:paraId="0000003A" w14:textId="77777777" w:rsidR="00C44C7B" w:rsidRPr="00EF5F66" w:rsidRDefault="0064544D" w:rsidP="00EF5F66">
      <w:pPr>
        <w:numPr>
          <w:ilvl w:val="0"/>
          <w:numId w:val="4"/>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陳乃瑜（民）</w:t>
      </w:r>
    </w:p>
    <w:p w14:paraId="0000003B" w14:textId="77777777" w:rsidR="00C44C7B" w:rsidRPr="00EF5F66" w:rsidRDefault="0064544D" w:rsidP="00EF5F66">
      <w:pPr>
        <w:numPr>
          <w:ilvl w:val="0"/>
          <w:numId w:val="4"/>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廖宜琨（民）</w:t>
      </w:r>
    </w:p>
    <w:p w14:paraId="0000003C" w14:textId="77777777" w:rsidR="00C44C7B" w:rsidRPr="00EF5F66" w:rsidRDefault="0064544D" w:rsidP="00EF5F66">
      <w:pPr>
        <w:numPr>
          <w:ilvl w:val="0"/>
          <w:numId w:val="4"/>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鄭宇恩（民）</w:t>
      </w:r>
    </w:p>
    <w:p w14:paraId="0000003D" w14:textId="77777777" w:rsidR="00C44C7B" w:rsidRPr="00EF5F66" w:rsidRDefault="0064544D" w:rsidP="00EF5F66">
      <w:pPr>
        <w:numPr>
          <w:ilvl w:val="0"/>
          <w:numId w:val="4"/>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顏蔚慈（民）</w:t>
      </w:r>
    </w:p>
    <w:p w14:paraId="1417D6B7" w14:textId="77777777" w:rsidR="00084395" w:rsidRDefault="00084395" w:rsidP="00084395">
      <w:pPr>
        <w:rPr>
          <w:rFonts w:ascii="微軟正黑體" w:eastAsia="微軟正黑體" w:hAnsi="微軟正黑體"/>
          <w:sz w:val="24"/>
          <w:szCs w:val="24"/>
        </w:rPr>
      </w:pPr>
      <w:bookmarkStart w:id="6" w:name="_hugg4xdhzy0i" w:colFirst="0" w:colLast="0"/>
      <w:bookmarkEnd w:id="6"/>
    </w:p>
    <w:p w14:paraId="0000003E" w14:textId="61A46477" w:rsidR="00C44C7B" w:rsidRPr="00084395" w:rsidRDefault="0064544D" w:rsidP="00084395">
      <w:pPr>
        <w:rPr>
          <w:rFonts w:ascii="微軟正黑體" w:eastAsia="微軟正黑體" w:hAnsi="微軟正黑體"/>
          <w:sz w:val="24"/>
          <w:szCs w:val="24"/>
        </w:rPr>
      </w:pPr>
      <w:r w:rsidRPr="00084395">
        <w:rPr>
          <w:rFonts w:ascii="微軟正黑體" w:eastAsia="微軟正黑體" w:hAnsi="微軟正黑體"/>
          <w:sz w:val="24"/>
          <w:szCs w:val="24"/>
        </w:rPr>
        <w:t>桃園市議員</w:t>
      </w:r>
      <w:r w:rsidR="00084395">
        <w:rPr>
          <w:rFonts w:ascii="微軟正黑體" w:eastAsia="微軟正黑體" w:hAnsi="微軟正黑體" w:hint="eastAsia"/>
          <w:sz w:val="24"/>
          <w:szCs w:val="24"/>
        </w:rPr>
        <w:t>：</w:t>
      </w:r>
    </w:p>
    <w:p w14:paraId="0000003F"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王珮毓（民）</w:t>
      </w:r>
    </w:p>
    <w:p w14:paraId="00000040" w14:textId="47248971" w:rsidR="00C44C7B" w:rsidRPr="006A178C"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朱珍瑤（國）</w:t>
      </w:r>
    </w:p>
    <w:p w14:paraId="5FB99947" w14:textId="47312845" w:rsidR="006A178C" w:rsidRPr="00EF5F66" w:rsidRDefault="006A178C" w:rsidP="00EF5F66">
      <w:pPr>
        <w:numPr>
          <w:ilvl w:val="0"/>
          <w:numId w:val="7"/>
        </w:numPr>
        <w:spacing w:line="400" w:lineRule="atLeast"/>
        <w:rPr>
          <w:rFonts w:ascii="微軟正黑體" w:eastAsia="微軟正黑體" w:hAnsi="微軟正黑體"/>
          <w:sz w:val="24"/>
          <w:szCs w:val="24"/>
        </w:rPr>
      </w:pPr>
      <w:r w:rsidRPr="006A178C">
        <w:rPr>
          <w:rFonts w:ascii="微軟正黑體" w:eastAsia="微軟正黑體" w:hAnsi="微軟正黑體" w:hint="eastAsia"/>
          <w:sz w:val="24"/>
          <w:szCs w:val="24"/>
        </w:rPr>
        <w:t>吳嘉和（國）</w:t>
      </w:r>
    </w:p>
    <w:p w14:paraId="4B83BD7D" w14:textId="435FA407" w:rsidR="006A178C" w:rsidRPr="006A178C" w:rsidRDefault="0064544D" w:rsidP="006A178C">
      <w:pPr>
        <w:numPr>
          <w:ilvl w:val="0"/>
          <w:numId w:val="7"/>
        </w:numPr>
        <w:spacing w:line="400" w:lineRule="atLeast"/>
        <w:rPr>
          <w:rFonts w:ascii="微軟正黑體" w:eastAsia="微軟正黑體" w:hAnsi="微軟正黑體" w:hint="eastAsia"/>
          <w:sz w:val="24"/>
          <w:szCs w:val="24"/>
        </w:rPr>
      </w:pPr>
      <w:r w:rsidRPr="00EF5F66">
        <w:rPr>
          <w:rFonts w:ascii="微軟正黑體" w:eastAsia="微軟正黑體" w:hAnsi="微軟正黑體" w:cs="Arial Unicode MS"/>
          <w:sz w:val="24"/>
          <w:szCs w:val="24"/>
        </w:rPr>
        <w:t>李柏坊（國）</w:t>
      </w:r>
    </w:p>
    <w:p w14:paraId="00000042"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張秀菊（國）</w:t>
      </w:r>
    </w:p>
    <w:p w14:paraId="00000043"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張肇良（民）</w:t>
      </w:r>
    </w:p>
    <w:p w14:paraId="00000044"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陳韋曄（國）</w:t>
      </w:r>
    </w:p>
    <w:p w14:paraId="00000045"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陳雅倫（民）</w:t>
      </w:r>
    </w:p>
    <w:p w14:paraId="00000046"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彭俊豪（民）</w:t>
      </w:r>
    </w:p>
    <w:p w14:paraId="00000047"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游吾和（民）</w:t>
      </w:r>
    </w:p>
    <w:p w14:paraId="00000048"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楊朝偉（國）</w:t>
      </w:r>
    </w:p>
    <w:p w14:paraId="00000049"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劉勝全（民）</w:t>
      </w:r>
    </w:p>
    <w:p w14:paraId="0000004A" w14:textId="77777777" w:rsidR="00C44C7B" w:rsidRPr="00EF5F66" w:rsidRDefault="0064544D" w:rsidP="00EF5F66">
      <w:pPr>
        <w:numPr>
          <w:ilvl w:val="0"/>
          <w:numId w:val="7"/>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魏筠（民）</w:t>
      </w:r>
    </w:p>
    <w:p w14:paraId="03BA3519" w14:textId="77777777" w:rsidR="00084395" w:rsidRDefault="00084395" w:rsidP="00084395">
      <w:pPr>
        <w:rPr>
          <w:rFonts w:ascii="微軟正黑體" w:eastAsia="微軟正黑體" w:hAnsi="微軟正黑體" w:hint="eastAsia"/>
          <w:sz w:val="24"/>
          <w:szCs w:val="24"/>
        </w:rPr>
      </w:pPr>
      <w:bookmarkStart w:id="7" w:name="_mdypbq8odsf2" w:colFirst="0" w:colLast="0"/>
      <w:bookmarkEnd w:id="7"/>
    </w:p>
    <w:p w14:paraId="0000004B" w14:textId="73F2B500" w:rsidR="00C44C7B" w:rsidRPr="00084395" w:rsidRDefault="0064544D" w:rsidP="00084395">
      <w:pPr>
        <w:rPr>
          <w:rFonts w:ascii="微軟正黑體" w:eastAsia="微軟正黑體" w:hAnsi="微軟正黑體"/>
          <w:sz w:val="24"/>
          <w:szCs w:val="24"/>
        </w:rPr>
      </w:pPr>
      <w:r w:rsidRPr="00084395">
        <w:rPr>
          <w:rFonts w:ascii="微軟正黑體" w:eastAsia="微軟正黑體" w:hAnsi="微軟正黑體"/>
          <w:sz w:val="24"/>
          <w:szCs w:val="24"/>
        </w:rPr>
        <w:t>臺中市議員</w:t>
      </w:r>
      <w:r w:rsidR="00084395">
        <w:rPr>
          <w:rFonts w:ascii="微軟正黑體" w:eastAsia="微軟正黑體" w:hAnsi="微軟正黑體" w:hint="eastAsia"/>
          <w:sz w:val="24"/>
          <w:szCs w:val="24"/>
        </w:rPr>
        <w:t>：</w:t>
      </w:r>
    </w:p>
    <w:p w14:paraId="0000004C"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古秀英（無）</w:t>
      </w:r>
    </w:p>
    <w:p w14:paraId="0000004D"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江肇國（民）</w:t>
      </w:r>
    </w:p>
    <w:p w14:paraId="0000004E"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何文海（民）</w:t>
      </w:r>
    </w:p>
    <w:p w14:paraId="0000004F"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吳佩芸（時）</w:t>
      </w:r>
    </w:p>
    <w:p w14:paraId="00000050"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吳振嘉（國）</w:t>
      </w:r>
    </w:p>
    <w:p w14:paraId="00000051"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李天生（民）</w:t>
      </w:r>
    </w:p>
    <w:p w14:paraId="00000052"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沈佑蓮（國）</w:t>
      </w:r>
    </w:p>
    <w:p w14:paraId="00000053"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林德宇（民）</w:t>
      </w:r>
    </w:p>
    <w:p w14:paraId="00000054"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張玉嬿（民）</w:t>
      </w:r>
    </w:p>
    <w:p w14:paraId="00000055"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陳文政（國）</w:t>
      </w:r>
    </w:p>
    <w:p w14:paraId="00000056"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lastRenderedPageBreak/>
        <w:t>陳本添（國）</w:t>
      </w:r>
    </w:p>
    <w:p w14:paraId="00000057"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陳淑華（民）</w:t>
      </w:r>
    </w:p>
    <w:p w14:paraId="00000058"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陳雅惠（民）</w:t>
      </w:r>
    </w:p>
    <w:p w14:paraId="00000059"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曾朝榮（民）</w:t>
      </w:r>
    </w:p>
    <w:p w14:paraId="0000005A"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黃守達（民）</w:t>
      </w:r>
    </w:p>
    <w:p w14:paraId="0000005B"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楊典忠（民）</w:t>
      </w:r>
    </w:p>
    <w:p w14:paraId="0000005C"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劉士州（國）</w:t>
      </w:r>
    </w:p>
    <w:p w14:paraId="0000005D"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謝志忠（民）</w:t>
      </w:r>
    </w:p>
    <w:p w14:paraId="0000005E" w14:textId="77777777" w:rsidR="00C44C7B" w:rsidRPr="00EF5F66" w:rsidRDefault="0064544D" w:rsidP="00EF5F66">
      <w:pPr>
        <w:numPr>
          <w:ilvl w:val="0"/>
          <w:numId w:val="5"/>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羅廷瑋（國）</w:t>
      </w:r>
    </w:p>
    <w:p w14:paraId="06C9E7E2" w14:textId="77777777" w:rsidR="00084395" w:rsidRDefault="00084395" w:rsidP="00084395">
      <w:pPr>
        <w:rPr>
          <w:rFonts w:ascii="微軟正黑體" w:eastAsia="微軟正黑體" w:hAnsi="微軟正黑體"/>
          <w:sz w:val="24"/>
          <w:szCs w:val="24"/>
        </w:rPr>
      </w:pPr>
      <w:bookmarkStart w:id="8" w:name="_d5bfsu7k2hio" w:colFirst="0" w:colLast="0"/>
      <w:bookmarkEnd w:id="8"/>
    </w:p>
    <w:p w14:paraId="0000005F" w14:textId="3BAACD3E" w:rsidR="00C44C7B" w:rsidRPr="00084395" w:rsidRDefault="0064544D" w:rsidP="00084395">
      <w:pPr>
        <w:rPr>
          <w:rFonts w:ascii="微軟正黑體" w:eastAsia="微軟正黑體" w:hAnsi="微軟正黑體"/>
          <w:sz w:val="24"/>
          <w:szCs w:val="24"/>
        </w:rPr>
      </w:pPr>
      <w:r w:rsidRPr="00084395">
        <w:rPr>
          <w:rFonts w:ascii="微軟正黑體" w:eastAsia="微軟正黑體" w:hAnsi="微軟正黑體"/>
          <w:sz w:val="24"/>
          <w:szCs w:val="24"/>
        </w:rPr>
        <w:t>臺南市議員</w:t>
      </w:r>
      <w:r w:rsidR="00084395">
        <w:rPr>
          <w:rFonts w:ascii="微軟正黑體" w:eastAsia="微軟正黑體" w:hAnsi="微軟正黑體" w:hint="eastAsia"/>
          <w:sz w:val="24"/>
          <w:szCs w:val="24"/>
        </w:rPr>
        <w:t>：</w:t>
      </w:r>
    </w:p>
    <w:p w14:paraId="00000060"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李宗翰（民）</w:t>
      </w:r>
    </w:p>
    <w:p w14:paraId="00000061"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李宗霖（基）</w:t>
      </w:r>
    </w:p>
    <w:p w14:paraId="00000062"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李啟維（民）</w:t>
      </w:r>
    </w:p>
    <w:p w14:paraId="00000063"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沈震東（民）</w:t>
      </w:r>
    </w:p>
    <w:p w14:paraId="00000064"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周嘉韋（民）</w:t>
      </w:r>
    </w:p>
    <w:p w14:paraId="00000065"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周麗津（民）</w:t>
      </w:r>
    </w:p>
    <w:p w14:paraId="00000066"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林冠維（無）</w:t>
      </w:r>
    </w:p>
    <w:p w14:paraId="00000067"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施余興望（Tjakumay Tagaw）（無）</w:t>
      </w:r>
    </w:p>
    <w:p w14:paraId="00000068"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陳怡珍（民）</w:t>
      </w:r>
    </w:p>
    <w:p w14:paraId="00000069"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陳皇宇（民）</w:t>
      </w:r>
    </w:p>
    <w:p w14:paraId="0000006A"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黃肇輝（民）</w:t>
      </w:r>
    </w:p>
    <w:p w14:paraId="0000006B"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蔡育輝（國）</w:t>
      </w:r>
    </w:p>
    <w:p w14:paraId="0000006C" w14:textId="77777777" w:rsidR="00C44C7B" w:rsidRPr="00EF5F66" w:rsidRDefault="0064544D" w:rsidP="00EF5F66">
      <w:pPr>
        <w:numPr>
          <w:ilvl w:val="0"/>
          <w:numId w:val="6"/>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蔡筱薇（民）</w:t>
      </w:r>
    </w:p>
    <w:p w14:paraId="0000006D" w14:textId="37826F21" w:rsidR="00C44C7B" w:rsidRPr="00084395" w:rsidRDefault="0064544D" w:rsidP="00084395">
      <w:pPr>
        <w:rPr>
          <w:rFonts w:ascii="微軟正黑體" w:eastAsia="微軟正黑體" w:hAnsi="微軟正黑體"/>
          <w:sz w:val="24"/>
          <w:szCs w:val="24"/>
        </w:rPr>
      </w:pPr>
      <w:bookmarkStart w:id="9" w:name="_b5wn8pdlfy6a" w:colFirst="0" w:colLast="0"/>
      <w:bookmarkEnd w:id="9"/>
      <w:r w:rsidRPr="00084395">
        <w:rPr>
          <w:rFonts w:ascii="微軟正黑體" w:eastAsia="微軟正黑體" w:hAnsi="微軟正黑體"/>
          <w:sz w:val="24"/>
          <w:szCs w:val="24"/>
        </w:rPr>
        <w:t>高雄市議員</w:t>
      </w:r>
      <w:r w:rsidR="00084395">
        <w:rPr>
          <w:rFonts w:ascii="微軟正黑體" w:eastAsia="微軟正黑體" w:hAnsi="微軟正黑體" w:hint="eastAsia"/>
          <w:sz w:val="24"/>
          <w:szCs w:val="24"/>
        </w:rPr>
        <w:t>：</w:t>
      </w:r>
    </w:p>
    <w:p w14:paraId="0000006E" w14:textId="77777777" w:rsidR="00C44C7B" w:rsidRPr="00EF5F66" w:rsidRDefault="0064544D" w:rsidP="00EF5F66">
      <w:pPr>
        <w:numPr>
          <w:ilvl w:val="0"/>
          <w:numId w:val="3"/>
        </w:numPr>
        <w:spacing w:before="240"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白喬茵（國）</w:t>
      </w:r>
    </w:p>
    <w:p w14:paraId="0000006F"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李雨庭（民）</w:t>
      </w:r>
    </w:p>
    <w:p w14:paraId="00000070"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李柏毅（民）</w:t>
      </w:r>
    </w:p>
    <w:p w14:paraId="00000071"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李雅芬（國）</w:t>
      </w:r>
    </w:p>
    <w:p w14:paraId="00000072"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李雅靜（國）</w:t>
      </w:r>
    </w:p>
    <w:p w14:paraId="00000073"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邱俊憲（民）</w:t>
      </w:r>
    </w:p>
    <w:p w14:paraId="00000074"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張勝富（民）</w:t>
      </w:r>
    </w:p>
    <w:p w14:paraId="00000075"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陳善慧（無）</w:t>
      </w:r>
    </w:p>
    <w:p w14:paraId="00000076"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陸淑美（國）</w:t>
      </w:r>
    </w:p>
    <w:p w14:paraId="00000077"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lastRenderedPageBreak/>
        <w:t>湯詠瑜（民）</w:t>
      </w:r>
    </w:p>
    <w:p w14:paraId="00000078"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黃文志（民）</w:t>
      </w:r>
    </w:p>
    <w:p w14:paraId="00000079"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黃柏霖（國）</w:t>
      </w:r>
    </w:p>
    <w:p w14:paraId="0000007A"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黃秋媖（民）</w:t>
      </w:r>
    </w:p>
    <w:p w14:paraId="0000007B" w14:textId="77777777" w:rsidR="00C44C7B" w:rsidRPr="00EF5F66" w:rsidRDefault="0064544D" w:rsidP="00EF5F66">
      <w:pPr>
        <w:numPr>
          <w:ilvl w:val="0"/>
          <w:numId w:val="3"/>
        </w:numPr>
        <w:spacing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黃捷（無）</w:t>
      </w:r>
    </w:p>
    <w:p w14:paraId="0000007C" w14:textId="77777777" w:rsidR="00C44C7B" w:rsidRPr="00EF5F66" w:rsidRDefault="0064544D" w:rsidP="00EF5F66">
      <w:pPr>
        <w:numPr>
          <w:ilvl w:val="0"/>
          <w:numId w:val="3"/>
        </w:numPr>
        <w:spacing w:after="240" w:line="400" w:lineRule="atLeast"/>
        <w:rPr>
          <w:rFonts w:ascii="微軟正黑體" w:eastAsia="微軟正黑體" w:hAnsi="微軟正黑體"/>
          <w:sz w:val="24"/>
          <w:szCs w:val="24"/>
        </w:rPr>
      </w:pPr>
      <w:r w:rsidRPr="00EF5F66">
        <w:rPr>
          <w:rFonts w:ascii="微軟正黑體" w:eastAsia="微軟正黑體" w:hAnsi="微軟正黑體" w:cs="Arial Unicode MS"/>
          <w:sz w:val="24"/>
          <w:szCs w:val="24"/>
        </w:rPr>
        <w:t>鄭孟洳（民）</w:t>
      </w:r>
    </w:p>
    <w:p w14:paraId="00000080" w14:textId="77777777" w:rsidR="00C44C7B" w:rsidRPr="00EF5F66" w:rsidRDefault="00C44C7B" w:rsidP="00EF5F66">
      <w:pPr>
        <w:spacing w:line="400" w:lineRule="atLeast"/>
        <w:rPr>
          <w:rFonts w:ascii="微軟正黑體" w:eastAsia="微軟正黑體" w:hAnsi="微軟正黑體"/>
        </w:rPr>
      </w:pPr>
    </w:p>
    <w:p w14:paraId="558ED46D" w14:textId="77777777" w:rsidR="000642FD" w:rsidRPr="00084395" w:rsidRDefault="0064544D" w:rsidP="00EF5F66">
      <w:pPr>
        <w:spacing w:line="400" w:lineRule="atLeast"/>
        <w:rPr>
          <w:rFonts w:ascii="微軟正黑體" w:eastAsia="微軟正黑體" w:hAnsi="微軟正黑體" w:cs="Arial Unicode MS"/>
          <w:b/>
          <w:bCs/>
          <w:sz w:val="24"/>
          <w:szCs w:val="24"/>
        </w:rPr>
      </w:pPr>
      <w:r w:rsidRPr="00084395">
        <w:rPr>
          <w:rFonts w:ascii="微軟正黑體" w:eastAsia="微軟正黑體" w:hAnsi="微軟正黑體" w:cs="Arial Unicode MS"/>
          <w:b/>
          <w:bCs/>
          <w:sz w:val="24"/>
          <w:szCs w:val="24"/>
        </w:rPr>
        <w:t>能源轉型推動聯盟團體名單：</w:t>
      </w:r>
    </w:p>
    <w:p w14:paraId="15C47C94" w14:textId="77777777" w:rsidR="000642FD" w:rsidRPr="00EF5F66" w:rsidRDefault="000642FD" w:rsidP="00EF5F66">
      <w:pPr>
        <w:spacing w:line="400" w:lineRule="atLeast"/>
        <w:rPr>
          <w:rFonts w:ascii="微軟正黑體" w:eastAsia="微軟正黑體" w:hAnsi="微軟正黑體" w:cs="Arial Unicode MS"/>
          <w:sz w:val="24"/>
          <w:szCs w:val="24"/>
        </w:rPr>
      </w:pPr>
    </w:p>
    <w:p w14:paraId="00000081" w14:textId="63783635" w:rsidR="00C44C7B" w:rsidRPr="00EF5F66" w:rsidRDefault="0064544D" w:rsidP="00EF5F66">
      <w:pPr>
        <w:spacing w:line="400" w:lineRule="atLeast"/>
        <w:rPr>
          <w:rFonts w:ascii="微軟正黑體" w:eastAsia="微軟正黑體" w:hAnsi="微軟正黑體"/>
        </w:rPr>
      </w:pPr>
      <w:r w:rsidRPr="00EF5F66">
        <w:rPr>
          <w:rFonts w:ascii="微軟正黑體" w:eastAsia="微軟正黑體" w:hAnsi="微軟正黑體" w:cs="Arial Unicode MS"/>
          <w:sz w:val="24"/>
          <w:szCs w:val="24"/>
        </w:rPr>
        <w:t>綠色公民行動聯盟、主婦聯盟環境保護基金會（台北總會、台中分會、南部辦公室）、地球公民基金會（高雄總會）、荒野保護協會、綠色和平、台南新芽、環境權保障基金會、台灣再生能源推動聯盟</w:t>
      </w:r>
    </w:p>
    <w:p w14:paraId="00000083" w14:textId="77777777" w:rsidR="00C44C7B" w:rsidRPr="00EF5F66" w:rsidRDefault="00C44C7B" w:rsidP="00EF5F66">
      <w:pPr>
        <w:spacing w:line="400" w:lineRule="atLeast"/>
        <w:rPr>
          <w:rFonts w:ascii="微軟正黑體" w:eastAsia="微軟正黑體" w:hAnsi="微軟正黑體"/>
          <w:sz w:val="24"/>
          <w:szCs w:val="24"/>
        </w:rPr>
      </w:pPr>
    </w:p>
    <w:p w14:paraId="00000084" w14:textId="77777777" w:rsidR="00C44C7B" w:rsidRPr="00084395" w:rsidRDefault="0064544D" w:rsidP="00EF5F66">
      <w:pPr>
        <w:spacing w:line="400" w:lineRule="atLeast"/>
        <w:jc w:val="both"/>
        <w:rPr>
          <w:rFonts w:ascii="微軟正黑體" w:eastAsia="微軟正黑體" w:hAnsi="微軟正黑體"/>
          <w:b/>
          <w:bCs/>
          <w:sz w:val="24"/>
          <w:szCs w:val="24"/>
        </w:rPr>
      </w:pPr>
      <w:r w:rsidRPr="00084395">
        <w:rPr>
          <w:rFonts w:ascii="微軟正黑體" w:eastAsia="微軟正黑體" w:hAnsi="微軟正黑體" w:cs="Arial Unicode MS"/>
          <w:b/>
          <w:bCs/>
          <w:sz w:val="24"/>
          <w:szCs w:val="24"/>
        </w:rPr>
        <w:t>新聞聯絡人：</w:t>
      </w:r>
    </w:p>
    <w:p w14:paraId="00000085" w14:textId="77777777" w:rsidR="00C44C7B" w:rsidRPr="00EF5F66" w:rsidRDefault="00C44C7B" w:rsidP="00EF5F66">
      <w:pPr>
        <w:spacing w:line="400" w:lineRule="atLeast"/>
        <w:jc w:val="both"/>
        <w:rPr>
          <w:rFonts w:ascii="微軟正黑體" w:eastAsia="微軟正黑體" w:hAnsi="微軟正黑體"/>
          <w:sz w:val="24"/>
          <w:szCs w:val="24"/>
        </w:rPr>
      </w:pPr>
    </w:p>
    <w:p w14:paraId="00000086" w14:textId="77777777" w:rsidR="00C44C7B" w:rsidRPr="00EF5F66" w:rsidRDefault="0064544D" w:rsidP="00EF5F66">
      <w:pPr>
        <w:spacing w:line="400" w:lineRule="atLeast"/>
        <w:jc w:val="both"/>
        <w:rPr>
          <w:rFonts w:ascii="微軟正黑體" w:eastAsia="微軟正黑體" w:hAnsi="微軟正黑體"/>
          <w:sz w:val="24"/>
          <w:szCs w:val="24"/>
        </w:rPr>
      </w:pPr>
      <w:r w:rsidRPr="00EF5F66">
        <w:rPr>
          <w:rFonts w:ascii="微軟正黑體" w:eastAsia="微軟正黑體" w:hAnsi="微軟正黑體" w:cs="Arial Unicode MS"/>
          <w:sz w:val="24"/>
          <w:szCs w:val="24"/>
        </w:rPr>
        <w:t>綠色公民行動聯盟 陳詩婷 0915-181-176</w:t>
      </w:r>
    </w:p>
    <w:p w14:paraId="000000CD" w14:textId="4D677DCA" w:rsidR="00C44C7B" w:rsidRPr="00EF5F66" w:rsidRDefault="0064544D" w:rsidP="00EF5F66">
      <w:pPr>
        <w:spacing w:line="400" w:lineRule="atLeast"/>
        <w:jc w:val="both"/>
        <w:rPr>
          <w:rFonts w:ascii="微軟正黑體" w:eastAsia="微軟正黑體" w:hAnsi="微軟正黑體"/>
          <w:sz w:val="24"/>
          <w:szCs w:val="24"/>
        </w:rPr>
      </w:pPr>
      <w:r w:rsidRPr="00EF5F66">
        <w:rPr>
          <w:rFonts w:ascii="微軟正黑體" w:eastAsia="微軟正黑體" w:hAnsi="微軟正黑體" w:cs="微軟正黑體" w:hint="eastAsia"/>
          <w:sz w:val="24"/>
          <w:szCs w:val="24"/>
        </w:rPr>
        <w:t>綠色公民行動聯盟</w:t>
      </w:r>
      <w:r w:rsidRPr="00EF5F66">
        <w:rPr>
          <w:rFonts w:ascii="微軟正黑體" w:eastAsia="微軟正黑體" w:hAnsi="微軟正黑體" w:cs="Arial Unicode MS"/>
          <w:sz w:val="24"/>
          <w:szCs w:val="24"/>
        </w:rPr>
        <w:t xml:space="preserve"> </w:t>
      </w:r>
      <w:r w:rsidRPr="00EF5F66">
        <w:rPr>
          <w:rFonts w:ascii="微軟正黑體" w:eastAsia="微軟正黑體" w:hAnsi="微軟正黑體" w:cs="微軟正黑體" w:hint="eastAsia"/>
          <w:sz w:val="24"/>
          <w:szCs w:val="24"/>
        </w:rPr>
        <w:t>沈宜臻</w:t>
      </w:r>
      <w:r w:rsidRPr="00EF5F66">
        <w:rPr>
          <w:rFonts w:ascii="微軟正黑體" w:eastAsia="微軟正黑體" w:hAnsi="微軟正黑體" w:cs="Arial Unicode MS"/>
          <w:sz w:val="24"/>
          <w:szCs w:val="24"/>
        </w:rPr>
        <w:t xml:space="preserve"> 0983-620-717</w:t>
      </w:r>
      <w:bookmarkStart w:id="10" w:name="_oxrv6q5avpdn" w:colFirst="0" w:colLast="0"/>
      <w:bookmarkEnd w:id="10"/>
    </w:p>
    <w:p w14:paraId="000000CE" w14:textId="77777777" w:rsidR="00C44C7B" w:rsidRPr="00EF5F66" w:rsidRDefault="00C44C7B" w:rsidP="00EF5F66">
      <w:pPr>
        <w:spacing w:line="400" w:lineRule="atLeast"/>
        <w:rPr>
          <w:rFonts w:ascii="微軟正黑體" w:eastAsia="微軟正黑體" w:hAnsi="微軟正黑體"/>
        </w:rPr>
      </w:pPr>
    </w:p>
    <w:sectPr w:rsidR="00C44C7B" w:rsidRPr="00EF5F66" w:rsidSect="0064544D">
      <w:pgSz w:w="11909" w:h="16834"/>
      <w:pgMar w:top="851" w:right="1277" w:bottom="1134"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42C"/>
    <w:multiLevelType w:val="multilevel"/>
    <w:tmpl w:val="FDEE4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814564"/>
    <w:multiLevelType w:val="multilevel"/>
    <w:tmpl w:val="92623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751576"/>
    <w:multiLevelType w:val="multilevel"/>
    <w:tmpl w:val="F17CE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11224A"/>
    <w:multiLevelType w:val="multilevel"/>
    <w:tmpl w:val="34142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FC444E"/>
    <w:multiLevelType w:val="multilevel"/>
    <w:tmpl w:val="3EEC5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9D2177"/>
    <w:multiLevelType w:val="multilevel"/>
    <w:tmpl w:val="25AEE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9541BA"/>
    <w:multiLevelType w:val="multilevel"/>
    <w:tmpl w:val="6B7286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7B"/>
    <w:rsid w:val="000642FD"/>
    <w:rsid w:val="00084395"/>
    <w:rsid w:val="002054F2"/>
    <w:rsid w:val="00571B01"/>
    <w:rsid w:val="0064544D"/>
    <w:rsid w:val="006A178C"/>
    <w:rsid w:val="00C44C7B"/>
    <w:rsid w:val="00EF5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AA07"/>
  <w15:docId w15:val="{523C9F66-6FCD-4FE7-997A-FDFC4FF0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40" w:lineRule="auto"/>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詩婷 陳</cp:lastModifiedBy>
  <cp:revision>8</cp:revision>
  <dcterms:created xsi:type="dcterms:W3CDTF">2023-06-04T13:01:00Z</dcterms:created>
  <dcterms:modified xsi:type="dcterms:W3CDTF">2023-06-05T03:26:00Z</dcterms:modified>
</cp:coreProperties>
</file>